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B9F" w:rsidRDefault="00DA7738" w:rsidP="004F26EC">
      <w:pPr>
        <w:pStyle w:val="Capa1"/>
        <w:rPr>
          <w:sz w:val="18"/>
          <w:szCs w:val="18"/>
          <w:highlight w:val="yellow"/>
        </w:rPr>
      </w:pPr>
      <w:r>
        <w:rPr>
          <w:noProof/>
          <w:sz w:val="18"/>
          <w:szCs w:val="18"/>
        </w:rPr>
        <w:pict>
          <v:rect id="Rectangle 611" o:spid="_x0000_s1026" style="position:absolute;margin-left:-83.3pt;margin-top:-88.7pt;width:174.25pt;height:862.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" fillcolor="#263250" stroked="f" strokeweight="0" insetpen="t">
            <v:shadow color="#ccc"/>
            <o:lock v:ext="edit" shapetype="t"/>
            <v:textbox inset="2.88pt,2.88pt,2.88pt,2.88pt"/>
          </v:rect>
        </w:pict>
      </w:r>
      <w:r>
        <w:rPr>
          <w:noProof/>
          <w:sz w:val="18"/>
          <w:szCs w:val="18"/>
        </w:rPr>
        <w:pict>
          <v:rect id="Rectangle 5" o:spid="_x0000_s1030" style="position:absolute;margin-left:-56.7pt;margin-top:-86.15pt;width:126pt;height:8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" fillcolor="navy" stroked="f" strokecolor="#339">
            <v:shadow color="black"/>
          </v:rect>
        </w:pict>
      </w:r>
    </w:p>
    <w:p w:rsidR="00E81B9F" w:rsidRDefault="00E81B9F" w:rsidP="004F26EC">
      <w:pPr>
        <w:pStyle w:val="Capa1"/>
        <w:rPr>
          <w:sz w:val="18"/>
          <w:szCs w:val="18"/>
          <w:highlight w:val="yellow"/>
        </w:rPr>
      </w:pPr>
    </w:p>
    <w:p w:rsidR="00E81B9F" w:rsidRPr="00AF7161" w:rsidRDefault="00DA7738" w:rsidP="004F26EC">
      <w:pPr>
        <w:pStyle w:val="Capa1"/>
      </w:pPr>
      <w:r w:rsidRPr="00DA7738">
        <w:rPr>
          <w:noProof/>
          <w:sz w:val="18"/>
          <w:szCs w:val="18"/>
        </w:rPr>
        <w:pict>
          <v:shapetype id="_x0000_t202" coordsize="21600,21600" o:spt="202" path="m,l,21600r21600,l21600,xe">
            <v:stroke joinstyle="miter"/>
            <v:path gradientshapeok="t" o:connecttype="rect"/>
          </v:shapetype>
          <v:shape id="Text Box 3" o:spid="_x0000_s1029" type="#_x0000_t202" style="position:absolute;margin-left:108pt;margin-top:8.25pt;width:405pt;height:5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UN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" filled="f" stroked="f">
            <v:textbox>
              <w:txbxContent>
                <w:p w:rsidR="007A00E8" w:rsidRPr="000729FF" w:rsidRDefault="007A00E8" w:rsidP="004F26EC">
                  <w:pPr>
                    <w:pStyle w:val="Capa2"/>
                    <w:spacing w:before="120"/>
                    <w:ind w:right="-79"/>
                    <w:jc w:val="right"/>
                    <w:rPr>
                      <w:color w:val="000080"/>
                      <w:sz w:val="44"/>
                      <w:szCs w:val="44"/>
                    </w:rPr>
                  </w:pPr>
                  <w:r>
                    <w:rPr>
                      <w:color w:val="000080"/>
                      <w:sz w:val="44"/>
                      <w:szCs w:val="44"/>
                    </w:rPr>
                    <w:t>REVISÃO DE GARANTIA FÍSICA DE ENERGIA</w:t>
                  </w: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Default="007A00E8" w:rsidP="004F26EC">
                  <w:pPr>
                    <w:pStyle w:val="Capa2"/>
                    <w:spacing w:line="276" w:lineRule="auto"/>
                    <w:ind w:right="-79"/>
                    <w:jc w:val="right"/>
                    <w:rPr>
                      <w:sz w:val="22"/>
                      <w:szCs w:val="22"/>
                    </w:rPr>
                  </w:pPr>
                </w:p>
                <w:p w:rsidR="007A00E8" w:rsidRPr="00F83EA5" w:rsidRDefault="007A00E8" w:rsidP="004F26EC">
                  <w:pPr>
                    <w:pStyle w:val="Capa2"/>
                    <w:spacing w:line="276" w:lineRule="auto"/>
                    <w:ind w:right="-79"/>
                    <w:jc w:val="right"/>
                    <w:rPr>
                      <w:sz w:val="22"/>
                      <w:szCs w:val="22"/>
                    </w:rPr>
                  </w:pPr>
                </w:p>
                <w:p w:rsidR="007A00E8" w:rsidRDefault="007A00E8" w:rsidP="00215F53">
                  <w:pPr>
                    <w:pStyle w:val="Capa2"/>
                    <w:spacing w:line="276" w:lineRule="auto"/>
                    <w:ind w:right="-79"/>
                    <w:jc w:val="right"/>
                    <w:rPr>
                      <w:i/>
                      <w:color w:val="000080"/>
                      <w:sz w:val="36"/>
                      <w:szCs w:val="36"/>
                    </w:rPr>
                  </w:pPr>
                  <w:r>
                    <w:rPr>
                      <w:i/>
                      <w:color w:val="000080"/>
                      <w:sz w:val="36"/>
                      <w:szCs w:val="36"/>
                    </w:rPr>
                    <w:t>Usina Termelétrica Figueira</w:t>
                  </w:r>
                </w:p>
                <w:p w:rsidR="007A00E8" w:rsidRDefault="007A00E8" w:rsidP="00215F53">
                  <w:pPr>
                    <w:pStyle w:val="Capa2"/>
                    <w:spacing w:line="276" w:lineRule="auto"/>
                    <w:ind w:right="-79"/>
                    <w:jc w:val="right"/>
                    <w:rPr>
                      <w:i/>
                      <w:color w:val="000080"/>
                      <w:sz w:val="36"/>
                      <w:szCs w:val="36"/>
                    </w:rPr>
                  </w:pPr>
                </w:p>
                <w:p w:rsidR="007A00E8" w:rsidRDefault="007A00E8" w:rsidP="00403C3B">
                  <w:pPr>
                    <w:pStyle w:val="Capa2"/>
                    <w:ind w:right="-79"/>
                    <w:jc w:val="right"/>
                    <w:rPr>
                      <w:color w:val="000080"/>
                      <w:sz w:val="40"/>
                      <w:szCs w:val="40"/>
                    </w:rPr>
                  </w:pPr>
                </w:p>
                <w:p w:rsidR="007A00E8" w:rsidRPr="00F83EA5" w:rsidRDefault="007A00E8" w:rsidP="004F26EC">
                  <w:pPr>
                    <w:pStyle w:val="Capa2"/>
                    <w:spacing w:line="276" w:lineRule="auto"/>
                    <w:ind w:right="-79"/>
                    <w:jc w:val="right"/>
                    <w:rPr>
                      <w:sz w:val="22"/>
                      <w:szCs w:val="22"/>
                    </w:rPr>
                  </w:pPr>
                </w:p>
                <w:p w:rsidR="007A00E8" w:rsidRPr="000729FF" w:rsidRDefault="007A00E8" w:rsidP="004F26EC">
                  <w:pPr>
                    <w:pStyle w:val="Capa2"/>
                    <w:ind w:right="-79"/>
                    <w:jc w:val="right"/>
                    <w:rPr>
                      <w:color w:val="000080"/>
                      <w:sz w:val="32"/>
                      <w:szCs w:val="32"/>
                    </w:rPr>
                  </w:pPr>
                </w:p>
                <w:p w:rsidR="007A00E8" w:rsidRDefault="007A00E8" w:rsidP="004F26EC">
                  <w:pPr>
                    <w:pStyle w:val="Rodap"/>
                    <w:tabs>
                      <w:tab w:val="clear" w:pos="4419"/>
                      <w:tab w:val="clear" w:pos="8838"/>
                    </w:tabs>
                    <w:spacing w:before="120" w:line="120" w:lineRule="auto"/>
                    <w:ind w:left="252" w:right="-79"/>
                    <w:jc w:val="right"/>
                    <w:rPr>
                      <w:sz w:val="10"/>
                      <w:szCs w:val="10"/>
                    </w:rPr>
                  </w:pPr>
                </w:p>
                <w:p w:rsidR="007A00E8" w:rsidRDefault="007A00E8" w:rsidP="004F26EC">
                  <w:pPr>
                    <w:pStyle w:val="Rodap"/>
                    <w:tabs>
                      <w:tab w:val="clear" w:pos="4419"/>
                      <w:tab w:val="clear" w:pos="8838"/>
                    </w:tabs>
                    <w:spacing w:before="120"/>
                    <w:ind w:left="252" w:right="-79"/>
                    <w:jc w:val="right"/>
                    <w:rPr>
                      <w:sz w:val="10"/>
                      <w:szCs w:val="10"/>
                    </w:rPr>
                  </w:pPr>
                </w:p>
                <w:p w:rsidR="007A00E8" w:rsidRDefault="007A00E8" w:rsidP="004F26EC">
                  <w:pPr>
                    <w:pStyle w:val="Rodap"/>
                    <w:tabs>
                      <w:tab w:val="clear" w:pos="4419"/>
                      <w:tab w:val="clear" w:pos="8838"/>
                    </w:tabs>
                    <w:spacing w:before="120"/>
                    <w:ind w:left="252" w:right="-79"/>
                    <w:jc w:val="right"/>
                    <w:rPr>
                      <w:sz w:val="10"/>
                      <w:szCs w:val="10"/>
                    </w:rPr>
                  </w:pPr>
                </w:p>
                <w:p w:rsidR="007A00E8" w:rsidRDefault="007A00E8" w:rsidP="004F26EC">
                  <w:pPr>
                    <w:pStyle w:val="Rodap"/>
                    <w:tabs>
                      <w:tab w:val="clear" w:pos="4419"/>
                      <w:tab w:val="clear" w:pos="8838"/>
                    </w:tabs>
                    <w:spacing w:before="120"/>
                    <w:ind w:left="252" w:right="-79"/>
                    <w:jc w:val="right"/>
                    <w:rPr>
                      <w:sz w:val="10"/>
                      <w:szCs w:val="10"/>
                    </w:rPr>
                  </w:pPr>
                </w:p>
              </w:txbxContent>
            </v:textbox>
          </v:shape>
        </w:pict>
      </w:r>
    </w:p>
    <w:p w:rsidR="00B202BC" w:rsidRDefault="00B202BC" w:rsidP="004F26EC">
      <w:pPr>
        <w:pStyle w:val="Capa1"/>
      </w:pPr>
    </w:p>
    <w:p w:rsidR="00B202BC" w:rsidRPr="00B202BC" w:rsidRDefault="00B202BC" w:rsidP="00B202BC">
      <w:r w:rsidRPr="00B202BC">
        <w:rPr>
          <w:noProof/>
        </w:rPr>
        <w:drawing>
          <wp:anchor distT="0" distB="0" distL="114300" distR="114300" simplePos="0" relativeHeight="251665920" behindDoc="0" locked="0" layoutInCell="1" allowOverlap="1">
            <wp:simplePos x="0" y="0"/>
            <wp:positionH relativeFrom="column">
              <wp:posOffset>-1175015</wp:posOffset>
            </wp:positionH>
            <wp:positionV relativeFrom="paragraph">
              <wp:posOffset>-2137097</wp:posOffset>
            </wp:positionV>
            <wp:extent cx="4360393" cy="5347648"/>
            <wp:effectExtent l="609600" t="152400" r="38886" b="0"/>
            <wp:wrapNone/>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rot="1236775">
                      <a:off x="0" y="0"/>
                      <a:ext cx="4361664" cy="5347648"/>
                    </a:xfrm>
                    <a:prstGeom prst="rect">
                      <a:avLst/>
                    </a:prstGeom>
                    <a:noFill/>
                  </pic:spPr>
                </pic:pic>
              </a:graphicData>
            </a:graphic>
          </wp:anchor>
        </w:drawing>
      </w:r>
    </w:p>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p w:rsidR="00B202BC" w:rsidRPr="00B202BC" w:rsidRDefault="00B202BC" w:rsidP="00B202BC">
      <w:r w:rsidRPr="00B202BC">
        <w:rPr>
          <w:noProof/>
        </w:rPr>
        <w:drawing>
          <wp:anchor distT="0" distB="0" distL="114300" distR="114300" simplePos="0" relativeHeight="251653630" behindDoc="0" locked="0" layoutInCell="1" allowOverlap="1">
            <wp:simplePos x="0" y="0"/>
            <wp:positionH relativeFrom="column">
              <wp:posOffset>2096751</wp:posOffset>
            </wp:positionH>
            <wp:positionV relativeFrom="paragraph">
              <wp:posOffset>-3357482</wp:posOffset>
            </wp:positionV>
            <wp:extent cx="6327159" cy="5909481"/>
            <wp:effectExtent l="19050" t="0" r="0" b="0"/>
            <wp:wrapNone/>
            <wp:docPr id="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6327159" cy="5909481"/>
                    </a:xfrm>
                    <a:prstGeom prst="rect">
                      <a:avLst/>
                    </a:prstGeom>
                    <a:noFill/>
                  </pic:spPr>
                </pic:pic>
              </a:graphicData>
            </a:graphic>
          </wp:anchor>
        </w:drawing>
      </w:r>
    </w:p>
    <w:p w:rsidR="00B202BC" w:rsidRPr="00B202BC" w:rsidRDefault="00B202BC" w:rsidP="00B202BC"/>
    <w:p w:rsidR="00B202BC" w:rsidRPr="00B202BC" w:rsidRDefault="00CA5229" w:rsidP="00B202BC">
      <w:r>
        <w:rPr>
          <w:noProof/>
        </w:rPr>
        <w:drawing>
          <wp:anchor distT="0" distB="0" distL="114300" distR="114300" simplePos="0" relativeHeight="251668992" behindDoc="0" locked="0" layoutInCell="1" allowOverlap="1">
            <wp:simplePos x="0" y="0"/>
            <wp:positionH relativeFrom="column">
              <wp:posOffset>4661535</wp:posOffset>
            </wp:positionH>
            <wp:positionV relativeFrom="paragraph">
              <wp:posOffset>133985</wp:posOffset>
            </wp:positionV>
            <wp:extent cx="1943100" cy="704850"/>
            <wp:effectExtent l="19050" t="0" r="0" b="0"/>
            <wp:wrapNone/>
            <wp:docPr id="3" name="Imagem 4" descr="Marca GF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Marca GF_JPG.jpg"/>
                    <pic:cNvPicPr>
                      <a:picLocks noChangeAspect="1" noChangeArrowheads="1"/>
                    </pic:cNvPicPr>
                  </pic:nvPicPr>
                  <pic:blipFill>
                    <a:blip r:embed="rId10" cstate="print"/>
                    <a:srcRect/>
                    <a:stretch>
                      <a:fillRect/>
                    </a:stretch>
                  </pic:blipFill>
                  <pic:spPr bwMode="auto">
                    <a:xfrm>
                      <a:off x="0" y="0"/>
                      <a:ext cx="1943100" cy="704850"/>
                    </a:xfrm>
                    <a:prstGeom prst="rect">
                      <a:avLst/>
                    </a:prstGeom>
                    <a:noFill/>
                    <a:ln w="9525">
                      <a:noFill/>
                      <a:miter lim="800000"/>
                      <a:headEnd/>
                      <a:tailEnd/>
                    </a:ln>
                  </pic:spPr>
                </pic:pic>
              </a:graphicData>
            </a:graphic>
          </wp:anchor>
        </w:drawing>
      </w:r>
      <w:r w:rsidR="00B202BC">
        <w:rPr>
          <w:noProof/>
        </w:rPr>
        <w:drawing>
          <wp:anchor distT="0" distB="0" distL="114300" distR="114300" simplePos="0" relativeHeight="251663872" behindDoc="0" locked="0" layoutInCell="1" allowOverlap="1">
            <wp:simplePos x="0" y="0"/>
            <wp:positionH relativeFrom="column">
              <wp:posOffset>1598295</wp:posOffset>
            </wp:positionH>
            <wp:positionV relativeFrom="page">
              <wp:posOffset>9032875</wp:posOffset>
            </wp:positionV>
            <wp:extent cx="1047750" cy="748030"/>
            <wp:effectExtent l="19050" t="0" r="0" b="0"/>
            <wp:wrapNone/>
            <wp:docPr id="614" name="Imagem 614" descr="3LF%206%20EPE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3LF%206%20EPE_vert"/>
                    <pic:cNvPicPr>
                      <a:picLocks noChangeAspect="1" noChangeArrowheads="1"/>
                    </pic:cNvPicPr>
                  </pic:nvPicPr>
                  <pic:blipFill>
                    <a:blip r:embed="rId11" cstate="print"/>
                    <a:srcRect/>
                    <a:stretch>
                      <a:fillRect/>
                    </a:stretch>
                  </pic:blipFill>
                  <pic:spPr bwMode="auto">
                    <a:xfrm>
                      <a:off x="0" y="0"/>
                      <a:ext cx="1047750" cy="748030"/>
                    </a:xfrm>
                    <a:prstGeom prst="rect">
                      <a:avLst/>
                    </a:prstGeom>
                    <a:noFill/>
                  </pic:spPr>
                </pic:pic>
              </a:graphicData>
            </a:graphic>
          </wp:anchor>
        </w:drawing>
      </w:r>
    </w:p>
    <w:p w:rsidR="00B202BC" w:rsidRDefault="00DA7738" w:rsidP="00B202BC">
      <w:r>
        <w:rPr>
          <w:noProof/>
        </w:rPr>
        <w:pict>
          <v:shape id="Text Box 652" o:spid="_x0000_s1027" type="#_x0000_t202" style="position:absolute;margin-left:242.75pt;margin-top:5pt;width:110.35pt;height:40.8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" filled="f" stroked="f" insetpen="t">
            <v:textbox inset="0,1mm,0,1mm">
              <w:txbxContent>
                <w:p w:rsidR="007A00E8" w:rsidRPr="00B706D5" w:rsidRDefault="007A00E8" w:rsidP="00CA5229">
                  <w:pPr>
                    <w:widowControl w:val="0"/>
                    <w:jc w:val="center"/>
                    <w:rPr>
                      <w:rFonts w:ascii="Tahoma" w:hAnsi="Tahoma" w:cs="Tahoma"/>
                      <w:b/>
                      <w:sz w:val="20"/>
                      <w:szCs w:val="20"/>
                    </w:rPr>
                  </w:pPr>
                  <w:r w:rsidRPr="00B706D5">
                    <w:rPr>
                      <w:rFonts w:ascii="Tahoma" w:hAnsi="Tahoma" w:cs="Tahoma"/>
                      <w:b/>
                      <w:sz w:val="20"/>
                      <w:szCs w:val="20"/>
                    </w:rPr>
                    <w:t>Ministério de</w:t>
                  </w:r>
                </w:p>
                <w:p w:rsidR="007A00E8" w:rsidRPr="00B706D5" w:rsidRDefault="007A00E8" w:rsidP="00CA5229">
                  <w:pPr>
                    <w:widowControl w:val="0"/>
                    <w:jc w:val="center"/>
                    <w:rPr>
                      <w:rFonts w:ascii="Tahoma" w:hAnsi="Tahoma" w:cs="Tahoma"/>
                      <w:b/>
                      <w:sz w:val="20"/>
                      <w:szCs w:val="20"/>
                    </w:rPr>
                  </w:pPr>
                  <w:r w:rsidRPr="00B706D5">
                    <w:rPr>
                      <w:rFonts w:ascii="Tahoma" w:hAnsi="Tahoma" w:cs="Tahoma"/>
                      <w:b/>
                      <w:sz w:val="20"/>
                      <w:szCs w:val="20"/>
                    </w:rPr>
                    <w:t>Minas e Energia</w:t>
                  </w:r>
                </w:p>
                <w:p w:rsidR="007A00E8" w:rsidRPr="00B706D5" w:rsidRDefault="007A00E8" w:rsidP="00CA5229">
                  <w:pPr>
                    <w:widowControl w:val="0"/>
                    <w:jc w:val="center"/>
                    <w:rPr>
                      <w:rFonts w:ascii="Tahoma" w:hAnsi="Tahoma" w:cs="Tahoma"/>
                      <w:b/>
                      <w:bCs/>
                      <w:sz w:val="20"/>
                      <w:szCs w:val="20"/>
                    </w:rPr>
                  </w:pPr>
                </w:p>
              </w:txbxContent>
            </v:textbox>
          </v:shape>
        </w:pict>
      </w:r>
    </w:p>
    <w:p w:rsidR="00B202BC" w:rsidRPr="00B202BC" w:rsidRDefault="00B202BC" w:rsidP="00B202BC"/>
    <w:p w:rsidR="00B202BC" w:rsidRPr="00B202BC" w:rsidRDefault="00DA7738" w:rsidP="00B202BC">
      <w:pPr>
        <w:tabs>
          <w:tab w:val="left" w:pos="5585"/>
        </w:tabs>
      </w:pPr>
      <w:r>
        <w:rPr>
          <w:noProof/>
        </w:rPr>
        <w:pict>
          <v:rect id="Rectangle 612" o:spid="_x0000_s1028" style="position:absolute;margin-left:-126.8pt;margin-top:36.3pt;width:795.7pt;height:7.1pt;z-index:2516546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" stroked="f" strokecolor="#0c0b4f">
            <v:fill color2="#ffc200" angle="90" focus="50%" type="gradient"/>
          </v:rect>
        </w:pict>
      </w:r>
      <w:r w:rsidR="00B202BC">
        <w:tab/>
      </w:r>
    </w:p>
    <w:p w:rsidR="00B202BC" w:rsidRDefault="00B202BC" w:rsidP="00B202BC"/>
    <w:p w:rsidR="00E81B9F" w:rsidRPr="00B202BC" w:rsidRDefault="00E81B9F" w:rsidP="00B202BC">
      <w:pPr>
        <w:sectPr w:rsidR="00E81B9F" w:rsidRPr="00B202BC" w:rsidSect="006551FB">
          <w:pgSz w:w="11907" w:h="16840" w:code="9"/>
          <w:pgMar w:top="1701" w:right="1134" w:bottom="1418" w:left="1134" w:header="567" w:footer="284" w:gutter="0"/>
          <w:cols w:space="708"/>
          <w:docGrid w:linePitch="360"/>
        </w:sectPr>
      </w:pPr>
    </w:p>
    <w:tbl>
      <w:tblPr>
        <w:tblW w:w="9596" w:type="dxa"/>
        <w:tblInd w:w="-318" w:type="dxa"/>
        <w:tblLook w:val="01E0"/>
      </w:tblPr>
      <w:tblGrid>
        <w:gridCol w:w="4736"/>
        <w:gridCol w:w="4860"/>
      </w:tblGrid>
      <w:tr w:rsidR="00E81B9F" w:rsidTr="00B34A5E">
        <w:trPr>
          <w:trHeight w:hRule="exact" w:val="6643"/>
        </w:trPr>
        <w:tc>
          <w:tcPr>
            <w:tcW w:w="4736" w:type="dxa"/>
            <w:shd w:val="clear" w:color="auto" w:fill="auto"/>
          </w:tcPr>
          <w:p w:rsidR="00E81B9F" w:rsidRDefault="00B34A5E" w:rsidP="00A5235B">
            <w:pPr>
              <w:pStyle w:val="Capa1"/>
              <w:ind w:left="480"/>
            </w:pPr>
            <w:r>
              <w:rPr>
                <w:noProof/>
              </w:rPr>
              <w:lastRenderedPageBreak/>
              <w:drawing>
                <wp:anchor distT="0" distB="0" distL="114300" distR="114300" simplePos="0" relativeHeight="251655680" behindDoc="0" locked="0" layoutInCell="1" allowOverlap="1">
                  <wp:simplePos x="0" y="0"/>
                  <wp:positionH relativeFrom="column">
                    <wp:posOffset>305435</wp:posOffset>
                  </wp:positionH>
                  <wp:positionV relativeFrom="paragraph">
                    <wp:posOffset>180975</wp:posOffset>
                  </wp:positionV>
                  <wp:extent cx="937895" cy="996950"/>
                  <wp:effectExtent l="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37895" cy="996950"/>
                          </a:xfrm>
                          <a:prstGeom prst="rect">
                            <a:avLst/>
                          </a:prstGeom>
                          <a:noFill/>
                        </pic:spPr>
                      </pic:pic>
                    </a:graphicData>
                  </a:graphic>
                </wp:anchor>
              </w:drawing>
            </w:r>
            <w:r w:rsidR="00D346E0">
              <w:rPr>
                <w:rFonts w:ascii="Times New Roman" w:hAnsi="Times New Roman" w:cs="Times New Roman"/>
                <w:b w:val="0"/>
                <w:sz w:val="24"/>
                <w:szCs w:val="24"/>
              </w:rPr>
              <w:br w:type="page"/>
            </w:r>
          </w:p>
          <w:p w:rsidR="00E81B9F" w:rsidRDefault="00E81B9F" w:rsidP="00A5235B">
            <w:pPr>
              <w:pStyle w:val="Capa1"/>
              <w:ind w:left="480"/>
            </w:pPr>
          </w:p>
          <w:p w:rsidR="00E81B9F" w:rsidRDefault="00E81B9F" w:rsidP="00A5235B">
            <w:pPr>
              <w:pStyle w:val="Capa1"/>
              <w:ind w:left="480"/>
            </w:pPr>
          </w:p>
          <w:p w:rsidR="00E81B9F" w:rsidRPr="00A5235B" w:rsidRDefault="00E81B9F" w:rsidP="00A5235B">
            <w:pPr>
              <w:pStyle w:val="Capa1"/>
              <w:spacing w:after="0"/>
              <w:ind w:left="480"/>
              <w:rPr>
                <w:b w:val="0"/>
                <w:sz w:val="16"/>
                <w:szCs w:val="16"/>
              </w:rPr>
            </w:pPr>
          </w:p>
          <w:p w:rsidR="00E81B9F" w:rsidRPr="00A5235B" w:rsidRDefault="00E81B9F" w:rsidP="00A5235B">
            <w:pPr>
              <w:pStyle w:val="Capa1"/>
              <w:spacing w:after="0"/>
              <w:ind w:left="480"/>
              <w:rPr>
                <w:b w:val="0"/>
                <w:sz w:val="16"/>
                <w:szCs w:val="16"/>
              </w:rPr>
            </w:pPr>
          </w:p>
          <w:p w:rsidR="00E81B9F" w:rsidRPr="000B2958" w:rsidRDefault="00E81B9F" w:rsidP="00A5235B">
            <w:pPr>
              <w:pStyle w:val="Capa1"/>
              <w:spacing w:after="0"/>
              <w:ind w:left="480"/>
              <w:rPr>
                <w:sz w:val="16"/>
                <w:szCs w:val="16"/>
              </w:rPr>
            </w:pPr>
            <w:r w:rsidRPr="000B2958">
              <w:rPr>
                <w:sz w:val="16"/>
                <w:szCs w:val="16"/>
              </w:rPr>
              <w:t>GOVERNO FEDERAL</w:t>
            </w:r>
          </w:p>
          <w:p w:rsidR="00E81B9F" w:rsidRPr="00D346E0" w:rsidRDefault="00E81B9F" w:rsidP="00D346E0">
            <w:pPr>
              <w:pStyle w:val="Cabealho"/>
              <w:spacing w:line="200" w:lineRule="exact"/>
              <w:rPr>
                <w:rFonts w:cs="Tahoma"/>
                <w:bCs/>
                <w:color w:val="auto"/>
                <w:sz w:val="16"/>
                <w:szCs w:val="16"/>
              </w:rPr>
            </w:pPr>
            <w:r w:rsidRPr="00A5235B">
              <w:rPr>
                <w:rFonts w:cs="Tahoma"/>
                <w:bCs/>
                <w:sz w:val="16"/>
                <w:szCs w:val="16"/>
              </w:rPr>
              <w:t xml:space="preserve"> MINA</w:t>
            </w:r>
            <w:r w:rsidR="00D346E0">
              <w:rPr>
                <w:rFonts w:cs="Tahoma"/>
                <w:bCs/>
                <w:color w:val="auto"/>
                <w:sz w:val="16"/>
                <w:szCs w:val="16"/>
              </w:rPr>
              <w:t xml:space="preserve">MINISTÉRIO DE MINAS </w:t>
            </w:r>
            <w:r w:rsidRPr="00D346E0">
              <w:rPr>
                <w:rFonts w:cs="Tahoma"/>
                <w:bCs/>
                <w:color w:val="auto"/>
                <w:sz w:val="16"/>
                <w:szCs w:val="16"/>
              </w:rPr>
              <w:t>E ENERGIA</w:t>
            </w:r>
          </w:p>
          <w:p w:rsidR="00E81B9F" w:rsidRPr="00A5235B" w:rsidRDefault="00E81B9F" w:rsidP="00A5235B">
            <w:pPr>
              <w:pStyle w:val="Cabealho"/>
              <w:spacing w:line="200" w:lineRule="exact"/>
              <w:ind w:left="480"/>
              <w:rPr>
                <w:rFonts w:cs="Tahoma"/>
                <w:bCs/>
                <w:sz w:val="16"/>
                <w:szCs w:val="16"/>
              </w:rPr>
            </w:pPr>
          </w:p>
          <w:p w:rsidR="00E81B9F" w:rsidRPr="00A5235B" w:rsidRDefault="00E81B9F" w:rsidP="00A5235B">
            <w:pPr>
              <w:pStyle w:val="Capa1"/>
              <w:spacing w:before="60" w:after="0"/>
              <w:ind w:left="480"/>
              <w:rPr>
                <w:sz w:val="16"/>
                <w:szCs w:val="16"/>
              </w:rPr>
            </w:pPr>
            <w:r w:rsidRPr="00A5235B">
              <w:rPr>
                <w:sz w:val="16"/>
                <w:szCs w:val="16"/>
              </w:rPr>
              <w:t>Ministério de Minas e Energia</w:t>
            </w:r>
          </w:p>
          <w:p w:rsidR="00E81B9F" w:rsidRPr="00A5235B" w:rsidRDefault="00E81B9F" w:rsidP="00A5235B">
            <w:pPr>
              <w:pStyle w:val="Capa2"/>
              <w:ind w:left="480"/>
              <w:rPr>
                <w:b w:val="0"/>
                <w:sz w:val="16"/>
                <w:szCs w:val="16"/>
              </w:rPr>
            </w:pPr>
            <w:r w:rsidRPr="00A5235B">
              <w:rPr>
                <w:sz w:val="16"/>
                <w:szCs w:val="16"/>
              </w:rPr>
              <w:t xml:space="preserve">Ministro </w:t>
            </w:r>
          </w:p>
          <w:p w:rsidR="00A36385" w:rsidRPr="00A5235B" w:rsidRDefault="00D346E0" w:rsidP="00A36385">
            <w:pPr>
              <w:pStyle w:val="Capa3"/>
              <w:ind w:left="480"/>
              <w:rPr>
                <w:sz w:val="16"/>
                <w:szCs w:val="16"/>
              </w:rPr>
            </w:pPr>
            <w:r>
              <w:rPr>
                <w:sz w:val="16"/>
                <w:szCs w:val="16"/>
              </w:rPr>
              <w:t>Édison Lobão</w:t>
            </w:r>
          </w:p>
          <w:p w:rsidR="002D3158" w:rsidRPr="00A5235B" w:rsidRDefault="002D3158" w:rsidP="00A5235B">
            <w:pPr>
              <w:pStyle w:val="Capa1"/>
              <w:spacing w:before="60" w:after="0"/>
              <w:ind w:left="480"/>
              <w:rPr>
                <w:sz w:val="16"/>
                <w:szCs w:val="16"/>
              </w:rPr>
            </w:pPr>
            <w:r w:rsidRPr="00A5235B">
              <w:rPr>
                <w:sz w:val="16"/>
                <w:szCs w:val="16"/>
              </w:rPr>
              <w:t>Secretário Executivo</w:t>
            </w:r>
          </w:p>
          <w:p w:rsidR="002D3158" w:rsidRPr="00A5235B" w:rsidRDefault="00D346E0" w:rsidP="00A5235B">
            <w:pPr>
              <w:pStyle w:val="Capa3"/>
              <w:ind w:left="480"/>
              <w:rPr>
                <w:sz w:val="16"/>
                <w:szCs w:val="16"/>
              </w:rPr>
            </w:pPr>
            <w:r w:rsidRPr="00B0369D">
              <w:rPr>
                <w:sz w:val="16"/>
                <w:szCs w:val="16"/>
              </w:rPr>
              <w:t>Márcio Pereira Zimmermann</w:t>
            </w:r>
          </w:p>
          <w:p w:rsidR="00E81B9F" w:rsidRPr="00A5235B" w:rsidRDefault="00E81B9F" w:rsidP="00A5235B">
            <w:pPr>
              <w:pStyle w:val="Capa1"/>
              <w:spacing w:before="60" w:after="0"/>
              <w:ind w:left="480"/>
              <w:rPr>
                <w:sz w:val="16"/>
                <w:szCs w:val="16"/>
              </w:rPr>
            </w:pPr>
            <w:r w:rsidRPr="00A5235B">
              <w:rPr>
                <w:sz w:val="16"/>
                <w:szCs w:val="16"/>
              </w:rPr>
              <w:t>Secretário de Planejamento e Desenvolvimento Energético</w:t>
            </w:r>
          </w:p>
          <w:p w:rsidR="00E81B9F" w:rsidRDefault="00141FCD" w:rsidP="00A5235B">
            <w:pPr>
              <w:pStyle w:val="Capa3"/>
              <w:ind w:left="480"/>
              <w:rPr>
                <w:sz w:val="16"/>
                <w:szCs w:val="16"/>
              </w:rPr>
            </w:pPr>
            <w:r w:rsidRPr="00A5235B">
              <w:rPr>
                <w:sz w:val="16"/>
                <w:szCs w:val="16"/>
              </w:rPr>
              <w:t>Altino Ventura Filho</w:t>
            </w:r>
          </w:p>
          <w:p w:rsidR="005701D1" w:rsidRPr="00A5235B" w:rsidRDefault="005701D1" w:rsidP="005701D1">
            <w:pPr>
              <w:pStyle w:val="Capa1"/>
              <w:spacing w:before="60" w:after="0"/>
              <w:ind w:left="480"/>
              <w:rPr>
                <w:sz w:val="16"/>
                <w:szCs w:val="16"/>
              </w:rPr>
            </w:pPr>
            <w:r w:rsidRPr="00A5235B">
              <w:rPr>
                <w:sz w:val="16"/>
                <w:szCs w:val="16"/>
              </w:rPr>
              <w:t xml:space="preserve">Secretário de </w:t>
            </w:r>
            <w:r>
              <w:rPr>
                <w:sz w:val="16"/>
                <w:szCs w:val="16"/>
              </w:rPr>
              <w:t>Energia</w:t>
            </w:r>
            <w:r w:rsidRPr="00A5235B">
              <w:rPr>
                <w:sz w:val="16"/>
                <w:szCs w:val="16"/>
              </w:rPr>
              <w:t xml:space="preserve"> </w:t>
            </w:r>
            <w:r>
              <w:rPr>
                <w:sz w:val="16"/>
                <w:szCs w:val="16"/>
              </w:rPr>
              <w:t>Elétrica</w:t>
            </w:r>
          </w:p>
          <w:p w:rsidR="00D346E0" w:rsidRPr="00A5235B" w:rsidRDefault="00D346E0" w:rsidP="00D346E0">
            <w:pPr>
              <w:pStyle w:val="Capa3"/>
              <w:rPr>
                <w:szCs w:val="16"/>
              </w:rPr>
            </w:pPr>
            <w:r>
              <w:rPr>
                <w:sz w:val="16"/>
                <w:szCs w:val="16"/>
              </w:rPr>
              <w:t xml:space="preserve">          </w:t>
            </w:r>
            <w:r w:rsidRPr="001C5925">
              <w:rPr>
                <w:sz w:val="16"/>
                <w:szCs w:val="16"/>
              </w:rPr>
              <w:t>Ildo Wilson Grüdtner</w:t>
            </w:r>
          </w:p>
          <w:p w:rsidR="005701D1" w:rsidRPr="00A5235B" w:rsidRDefault="005701D1" w:rsidP="005701D1">
            <w:pPr>
              <w:pStyle w:val="Capa1"/>
              <w:spacing w:before="60" w:after="0"/>
              <w:ind w:left="480"/>
              <w:rPr>
                <w:sz w:val="16"/>
                <w:szCs w:val="16"/>
              </w:rPr>
            </w:pPr>
            <w:r w:rsidRPr="00A5235B">
              <w:rPr>
                <w:sz w:val="16"/>
                <w:szCs w:val="16"/>
              </w:rPr>
              <w:t xml:space="preserve">Secretário </w:t>
            </w:r>
            <w:r>
              <w:rPr>
                <w:sz w:val="16"/>
                <w:szCs w:val="16"/>
              </w:rPr>
              <w:t>Petróleo, Gás Natural e Combustíveis Renováveis</w:t>
            </w:r>
          </w:p>
          <w:p w:rsidR="005701D1" w:rsidRDefault="005701D1" w:rsidP="00A5235B">
            <w:pPr>
              <w:pStyle w:val="Capa3"/>
              <w:ind w:left="480"/>
              <w:rPr>
                <w:sz w:val="16"/>
                <w:szCs w:val="16"/>
              </w:rPr>
            </w:pPr>
            <w:r>
              <w:rPr>
                <w:sz w:val="16"/>
                <w:szCs w:val="16"/>
              </w:rPr>
              <w:t>Marco Antônio Martins de Almeida</w:t>
            </w:r>
            <w:r w:rsidRPr="00A5235B">
              <w:rPr>
                <w:sz w:val="16"/>
                <w:szCs w:val="16"/>
              </w:rPr>
              <w:t xml:space="preserve"> </w:t>
            </w:r>
          </w:p>
          <w:p w:rsidR="00E81B9F" w:rsidRDefault="005701D1" w:rsidP="000B2958">
            <w:pPr>
              <w:pStyle w:val="Capa1"/>
              <w:spacing w:before="60" w:after="0"/>
              <w:ind w:left="480"/>
              <w:rPr>
                <w:sz w:val="16"/>
                <w:szCs w:val="16"/>
              </w:rPr>
            </w:pPr>
            <w:r w:rsidRPr="00A5235B">
              <w:rPr>
                <w:sz w:val="16"/>
                <w:szCs w:val="16"/>
              </w:rPr>
              <w:t xml:space="preserve">Secretário </w:t>
            </w:r>
            <w:r w:rsidR="000B2958">
              <w:rPr>
                <w:sz w:val="16"/>
                <w:szCs w:val="16"/>
              </w:rPr>
              <w:t>de Geologia, Mineração e</w:t>
            </w:r>
          </w:p>
          <w:p w:rsidR="000B2958" w:rsidRPr="00A5235B" w:rsidRDefault="000B2958" w:rsidP="000B2958">
            <w:pPr>
              <w:pStyle w:val="Capa1"/>
              <w:spacing w:before="60" w:after="0"/>
              <w:ind w:left="480"/>
              <w:rPr>
                <w:sz w:val="16"/>
                <w:szCs w:val="16"/>
              </w:rPr>
            </w:pPr>
            <w:r>
              <w:rPr>
                <w:sz w:val="16"/>
                <w:szCs w:val="16"/>
              </w:rPr>
              <w:t>Transformação Mineral</w:t>
            </w:r>
          </w:p>
          <w:p w:rsidR="000B2958" w:rsidRDefault="00287AC5" w:rsidP="000B2958">
            <w:pPr>
              <w:pStyle w:val="Capa3"/>
              <w:ind w:left="480"/>
              <w:rPr>
                <w:sz w:val="16"/>
                <w:szCs w:val="16"/>
              </w:rPr>
            </w:pPr>
            <w:r>
              <w:rPr>
                <w:sz w:val="16"/>
                <w:szCs w:val="16"/>
              </w:rPr>
              <w:t>Carlos Nogueira da Costa Júnior</w:t>
            </w:r>
          </w:p>
          <w:p w:rsidR="000B2958" w:rsidRPr="00A5235B" w:rsidRDefault="000B2958" w:rsidP="000B2958">
            <w:pPr>
              <w:pStyle w:val="Capa1"/>
              <w:spacing w:before="60" w:after="0"/>
              <w:ind w:left="480"/>
              <w:rPr>
                <w:b w:val="0"/>
              </w:rPr>
            </w:pPr>
          </w:p>
        </w:tc>
        <w:tc>
          <w:tcPr>
            <w:tcW w:w="4860" w:type="dxa"/>
            <w:shd w:val="clear" w:color="auto" w:fill="auto"/>
          </w:tcPr>
          <w:p w:rsidR="00E81B9F" w:rsidRPr="00A5235B" w:rsidRDefault="00E81B9F" w:rsidP="00A5235B">
            <w:pPr>
              <w:pStyle w:val="TtuloCapa"/>
              <w:ind w:left="252" w:right="68"/>
              <w:jc w:val="right"/>
              <w:rPr>
                <w:rFonts w:cs="Tahoma"/>
                <w:sz w:val="6"/>
                <w:szCs w:val="6"/>
              </w:rPr>
            </w:pPr>
          </w:p>
          <w:p w:rsidR="00E81B9F" w:rsidRPr="00A5235B" w:rsidRDefault="00E81B9F" w:rsidP="00A5235B">
            <w:pPr>
              <w:pStyle w:val="TtuloCapa"/>
              <w:ind w:left="252" w:right="68"/>
              <w:jc w:val="right"/>
              <w:rPr>
                <w:rFonts w:cs="Tahoma"/>
                <w:sz w:val="6"/>
                <w:szCs w:val="6"/>
              </w:rPr>
            </w:pPr>
          </w:p>
          <w:p w:rsidR="00E81B9F" w:rsidRPr="00A5235B" w:rsidRDefault="00B34A5E" w:rsidP="00A5235B">
            <w:pPr>
              <w:pStyle w:val="Capa2"/>
              <w:spacing w:before="120"/>
              <w:ind w:left="480" w:right="68"/>
              <w:jc w:val="right"/>
              <w:rPr>
                <w:color w:val="000080"/>
                <w:sz w:val="40"/>
                <w:szCs w:val="40"/>
              </w:rPr>
            </w:pPr>
            <w:r>
              <w:rPr>
                <w:color w:val="000080"/>
                <w:sz w:val="40"/>
                <w:szCs w:val="40"/>
              </w:rPr>
              <w:t xml:space="preserve">REVISÃO DE GARANTIA FÍSICA DE ENERGIA </w:t>
            </w:r>
          </w:p>
          <w:p w:rsidR="00E81B9F" w:rsidRPr="00A5235B" w:rsidRDefault="00E81B9F" w:rsidP="00A5235B">
            <w:pPr>
              <w:pStyle w:val="Capa2"/>
              <w:spacing w:before="240"/>
              <w:ind w:left="480" w:right="68"/>
              <w:jc w:val="right"/>
              <w:rPr>
                <w:color w:val="000080"/>
                <w:sz w:val="40"/>
                <w:szCs w:val="40"/>
              </w:rPr>
            </w:pPr>
          </w:p>
          <w:p w:rsidR="00E81B9F" w:rsidRDefault="00E81B9F" w:rsidP="00A5235B">
            <w:pPr>
              <w:pStyle w:val="Capa2"/>
              <w:spacing w:line="276" w:lineRule="auto"/>
              <w:ind w:left="480" w:right="68"/>
              <w:jc w:val="right"/>
              <w:rPr>
                <w:sz w:val="22"/>
                <w:szCs w:val="22"/>
              </w:rPr>
            </w:pPr>
          </w:p>
          <w:p w:rsidR="00435B59" w:rsidRDefault="00435B59" w:rsidP="00A5235B">
            <w:pPr>
              <w:pStyle w:val="Capa2"/>
              <w:spacing w:line="276" w:lineRule="auto"/>
              <w:ind w:left="480" w:right="68"/>
              <w:jc w:val="right"/>
              <w:rPr>
                <w:sz w:val="22"/>
                <w:szCs w:val="22"/>
              </w:rPr>
            </w:pPr>
          </w:p>
          <w:p w:rsidR="00435B59" w:rsidRDefault="00435B59" w:rsidP="00A5235B">
            <w:pPr>
              <w:pStyle w:val="Capa2"/>
              <w:spacing w:line="276" w:lineRule="auto"/>
              <w:ind w:left="480" w:right="68"/>
              <w:jc w:val="right"/>
              <w:rPr>
                <w:sz w:val="22"/>
                <w:szCs w:val="22"/>
              </w:rPr>
            </w:pPr>
          </w:p>
          <w:p w:rsidR="00435B59" w:rsidRDefault="00435B59" w:rsidP="00A5235B">
            <w:pPr>
              <w:pStyle w:val="Capa2"/>
              <w:spacing w:line="276" w:lineRule="auto"/>
              <w:ind w:left="480" w:right="68"/>
              <w:jc w:val="right"/>
              <w:rPr>
                <w:sz w:val="22"/>
                <w:szCs w:val="22"/>
              </w:rPr>
            </w:pPr>
          </w:p>
          <w:p w:rsidR="00435B59" w:rsidRPr="00A5235B" w:rsidRDefault="00435B59" w:rsidP="00A5235B">
            <w:pPr>
              <w:pStyle w:val="Capa2"/>
              <w:spacing w:line="276" w:lineRule="auto"/>
              <w:ind w:left="480" w:right="68"/>
              <w:jc w:val="right"/>
              <w:rPr>
                <w:sz w:val="22"/>
                <w:szCs w:val="22"/>
              </w:rPr>
            </w:pPr>
          </w:p>
          <w:p w:rsidR="00E81B9F" w:rsidRPr="00A5235B" w:rsidRDefault="00E81B9F" w:rsidP="00A5235B">
            <w:pPr>
              <w:pStyle w:val="Capa2"/>
              <w:spacing w:line="276" w:lineRule="auto"/>
              <w:ind w:left="480" w:right="68"/>
              <w:jc w:val="right"/>
              <w:rPr>
                <w:sz w:val="22"/>
                <w:szCs w:val="22"/>
              </w:rPr>
            </w:pPr>
          </w:p>
          <w:p w:rsidR="001E6CB0" w:rsidRPr="00A5235B" w:rsidRDefault="001E6CB0" w:rsidP="00A5235B">
            <w:pPr>
              <w:pStyle w:val="Rodap"/>
              <w:tabs>
                <w:tab w:val="clear" w:pos="4419"/>
                <w:tab w:val="clear" w:pos="8838"/>
              </w:tabs>
              <w:spacing w:before="120" w:line="120" w:lineRule="auto"/>
              <w:ind w:left="252" w:right="68"/>
              <w:jc w:val="right"/>
              <w:rPr>
                <w:rFonts w:ascii="Tahoma" w:hAnsi="Tahoma"/>
                <w:sz w:val="10"/>
                <w:szCs w:val="10"/>
              </w:rPr>
            </w:pPr>
          </w:p>
          <w:p w:rsidR="0073512E" w:rsidRPr="00A5235B" w:rsidRDefault="0073512E" w:rsidP="00A5235B">
            <w:pPr>
              <w:pStyle w:val="Rodap"/>
              <w:tabs>
                <w:tab w:val="clear" w:pos="4419"/>
                <w:tab w:val="clear" w:pos="8838"/>
              </w:tabs>
              <w:spacing w:before="120" w:line="120" w:lineRule="auto"/>
              <w:ind w:left="252" w:right="68"/>
              <w:jc w:val="right"/>
              <w:rPr>
                <w:rFonts w:ascii="Tahoma" w:hAnsi="Tahoma"/>
                <w:sz w:val="10"/>
                <w:szCs w:val="10"/>
              </w:rPr>
            </w:pPr>
          </w:p>
          <w:p w:rsidR="00314CBD" w:rsidRDefault="00314CBD" w:rsidP="00314CBD">
            <w:pPr>
              <w:pStyle w:val="Rodap"/>
              <w:ind w:left="480" w:right="68"/>
              <w:jc w:val="right"/>
              <w:rPr>
                <w:rFonts w:ascii="Tahoma" w:hAnsi="Tahoma" w:cs="Tahoma"/>
                <w:i/>
                <w:color w:val="000080"/>
                <w:sz w:val="32"/>
                <w:szCs w:val="32"/>
              </w:rPr>
            </w:pPr>
            <w:r>
              <w:rPr>
                <w:rFonts w:ascii="Tahoma" w:hAnsi="Tahoma" w:cs="Tahoma"/>
                <w:i/>
                <w:color w:val="000080"/>
                <w:sz w:val="32"/>
                <w:szCs w:val="32"/>
              </w:rPr>
              <w:t>U</w:t>
            </w:r>
            <w:r w:rsidR="00B34A5E">
              <w:rPr>
                <w:rFonts w:ascii="Tahoma" w:hAnsi="Tahoma" w:cs="Tahoma"/>
                <w:i/>
                <w:color w:val="000080"/>
                <w:sz w:val="32"/>
                <w:szCs w:val="32"/>
              </w:rPr>
              <w:t xml:space="preserve">sina Termelétrica </w:t>
            </w:r>
            <w:r>
              <w:rPr>
                <w:rFonts w:ascii="Tahoma" w:hAnsi="Tahoma" w:cs="Tahoma"/>
                <w:i/>
                <w:color w:val="000080"/>
                <w:sz w:val="32"/>
                <w:szCs w:val="32"/>
              </w:rPr>
              <w:t>Figueira</w:t>
            </w:r>
          </w:p>
          <w:p w:rsidR="00E81B9F" w:rsidRPr="00A5235B" w:rsidRDefault="00E81B9F" w:rsidP="00A5235B">
            <w:pPr>
              <w:pStyle w:val="Rodap"/>
              <w:tabs>
                <w:tab w:val="clear" w:pos="4419"/>
                <w:tab w:val="clear" w:pos="8838"/>
              </w:tabs>
              <w:spacing w:before="120" w:line="120" w:lineRule="auto"/>
              <w:ind w:left="252" w:right="68"/>
              <w:jc w:val="right"/>
              <w:rPr>
                <w:rFonts w:ascii="Tahoma" w:hAnsi="Tahoma"/>
                <w:sz w:val="10"/>
                <w:szCs w:val="10"/>
              </w:rPr>
            </w:pPr>
          </w:p>
          <w:p w:rsidR="00E81B9F" w:rsidRPr="00A5235B" w:rsidRDefault="00E81B9F" w:rsidP="00A5235B">
            <w:pPr>
              <w:pStyle w:val="Rodap"/>
              <w:tabs>
                <w:tab w:val="clear" w:pos="4419"/>
                <w:tab w:val="clear" w:pos="8838"/>
              </w:tabs>
              <w:ind w:left="252" w:right="68"/>
              <w:jc w:val="right"/>
              <w:rPr>
                <w:rFonts w:ascii="Tahoma" w:hAnsi="Tahoma"/>
                <w:sz w:val="14"/>
                <w:szCs w:val="14"/>
              </w:rPr>
            </w:pPr>
          </w:p>
          <w:p w:rsidR="00E81B9F" w:rsidRPr="00A5235B" w:rsidRDefault="00E81B9F" w:rsidP="00A5235B">
            <w:pPr>
              <w:pStyle w:val="TextoCapa"/>
              <w:spacing w:before="0"/>
              <w:ind w:left="252" w:right="68"/>
              <w:jc w:val="right"/>
              <w:rPr>
                <w:sz w:val="10"/>
                <w:szCs w:val="10"/>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line="120" w:lineRule="auto"/>
              <w:ind w:left="252" w:right="68"/>
              <w:jc w:val="right"/>
              <w:rPr>
                <w:sz w:val="14"/>
                <w:szCs w:val="14"/>
              </w:rPr>
            </w:pPr>
          </w:p>
          <w:p w:rsidR="00E81B9F" w:rsidRPr="00A5235B" w:rsidRDefault="00E81B9F" w:rsidP="00A5235B">
            <w:pPr>
              <w:pStyle w:val="TextoCapa"/>
              <w:spacing w:before="0"/>
              <w:ind w:left="252" w:right="68"/>
              <w:jc w:val="right"/>
              <w:rPr>
                <w:color w:val="0000FF"/>
              </w:rPr>
            </w:pPr>
            <w:r w:rsidRPr="00A5235B">
              <w:rPr>
                <w:i/>
                <w:sz w:val="16"/>
                <w:szCs w:val="16"/>
              </w:rPr>
              <w:t>.</w:t>
            </w:r>
          </w:p>
        </w:tc>
      </w:tr>
      <w:tr w:rsidR="00E81B9F" w:rsidRPr="00A5235B" w:rsidTr="00B34A5E">
        <w:trPr>
          <w:trHeight w:val="5402"/>
        </w:trPr>
        <w:tc>
          <w:tcPr>
            <w:tcW w:w="4736" w:type="dxa"/>
            <w:shd w:val="clear" w:color="auto" w:fill="auto"/>
            <w:vAlign w:val="bottom"/>
          </w:tcPr>
          <w:p w:rsidR="005701D1" w:rsidRDefault="003671D9" w:rsidP="00A5235B">
            <w:pPr>
              <w:pStyle w:val="Capa2"/>
              <w:ind w:left="480"/>
            </w:pPr>
            <w:r>
              <w:rPr>
                <w:noProof/>
              </w:rPr>
              <w:drawing>
                <wp:inline distT="0" distB="0" distL="0" distR="0">
                  <wp:extent cx="1030605" cy="715010"/>
                  <wp:effectExtent l="19050" t="0" r="0" b="0"/>
                  <wp:docPr id="2" name="Imagem 2" descr="3LF%206%20EPE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LF%206%20EPE_vert"/>
                          <pic:cNvPicPr>
                            <a:picLocks noChangeAspect="1" noChangeArrowheads="1"/>
                          </pic:cNvPicPr>
                        </pic:nvPicPr>
                        <pic:blipFill>
                          <a:blip r:embed="rId13" cstate="print"/>
                          <a:srcRect/>
                          <a:stretch>
                            <a:fillRect/>
                          </a:stretch>
                        </pic:blipFill>
                        <pic:spPr bwMode="auto">
                          <a:xfrm>
                            <a:off x="0" y="0"/>
                            <a:ext cx="1030605" cy="715010"/>
                          </a:xfrm>
                          <a:prstGeom prst="rect">
                            <a:avLst/>
                          </a:prstGeom>
                          <a:noFill/>
                          <a:ln w="9525">
                            <a:noFill/>
                            <a:miter lim="800000"/>
                            <a:headEnd/>
                            <a:tailEnd/>
                          </a:ln>
                        </pic:spPr>
                      </pic:pic>
                    </a:graphicData>
                  </a:graphic>
                </wp:inline>
              </w:drawing>
            </w:r>
          </w:p>
          <w:p w:rsidR="00E81B9F" w:rsidRPr="009173A7" w:rsidRDefault="00E81B9F" w:rsidP="00A5235B">
            <w:pPr>
              <w:pStyle w:val="CGVTEXT"/>
              <w:ind w:left="480"/>
            </w:pPr>
            <w:r w:rsidRPr="009173A7">
              <w:t xml:space="preserve">Empresa pública, vinculada ao Ministério de Minas e Energia, instituída nos termos da Lei n° 10.847, de 15 de março de </w:t>
            </w:r>
            <w:smartTag w:uri="urn:schemas-microsoft-com:office:smarttags" w:element="metricconverter">
              <w:smartTagPr>
                <w:attr w:name="ProductID" w:val="2004, a"/>
              </w:smartTagPr>
              <w:r w:rsidRPr="009173A7">
                <w:t>2004, a</w:t>
              </w:r>
            </w:smartTag>
            <w:r w:rsidRPr="009173A7">
              <w:t xml:space="preserve"> EPE tem por finalidade prestar serviços na área de estudos e pesquisas destinadas a subsidiar o planejamento do setor energético, tais como energia elétrica, petróleo e gás natural e seus derivados, carvão mineral, fontes energéticas renováveis e eficiência energética, dentre outras.</w:t>
            </w:r>
          </w:p>
          <w:p w:rsidR="00E81B9F" w:rsidRPr="00A5235B" w:rsidRDefault="00E81B9F" w:rsidP="00A5235B">
            <w:pPr>
              <w:pStyle w:val="Capa2"/>
              <w:ind w:left="480"/>
              <w:rPr>
                <w:i/>
              </w:rPr>
            </w:pPr>
          </w:p>
          <w:p w:rsidR="00E81B9F" w:rsidRPr="000B0A92" w:rsidRDefault="00E81B9F" w:rsidP="00A5235B">
            <w:pPr>
              <w:pStyle w:val="Capa2"/>
              <w:ind w:left="480"/>
            </w:pPr>
          </w:p>
          <w:p w:rsidR="00E81B9F" w:rsidRPr="00A5235B" w:rsidRDefault="00E81B9F" w:rsidP="00A5235B">
            <w:pPr>
              <w:pStyle w:val="Capa2"/>
              <w:ind w:left="480"/>
              <w:rPr>
                <w:sz w:val="16"/>
                <w:szCs w:val="16"/>
              </w:rPr>
            </w:pPr>
            <w:r w:rsidRPr="00A5235B">
              <w:rPr>
                <w:sz w:val="16"/>
                <w:szCs w:val="16"/>
              </w:rPr>
              <w:t>Presidente</w:t>
            </w:r>
          </w:p>
          <w:p w:rsidR="00E81B9F" w:rsidRPr="00A5235B" w:rsidRDefault="00E81B9F" w:rsidP="00A5235B">
            <w:pPr>
              <w:pStyle w:val="Capa3"/>
              <w:ind w:left="480"/>
              <w:rPr>
                <w:sz w:val="16"/>
                <w:szCs w:val="16"/>
              </w:rPr>
            </w:pPr>
            <w:r w:rsidRPr="00A5235B">
              <w:rPr>
                <w:sz w:val="16"/>
                <w:szCs w:val="16"/>
              </w:rPr>
              <w:t>Mauricio Tiomno Tolmasquim</w:t>
            </w:r>
          </w:p>
          <w:p w:rsidR="00E81B9F" w:rsidRPr="00A5235B" w:rsidRDefault="00E81B9F" w:rsidP="00A5235B">
            <w:pPr>
              <w:pStyle w:val="Capa2"/>
              <w:ind w:left="480"/>
              <w:rPr>
                <w:sz w:val="16"/>
                <w:szCs w:val="16"/>
              </w:rPr>
            </w:pPr>
            <w:r w:rsidRPr="00A5235B">
              <w:rPr>
                <w:sz w:val="16"/>
                <w:szCs w:val="16"/>
              </w:rPr>
              <w:t>Diretor de Estudos Econômicos e Energéticos</w:t>
            </w:r>
          </w:p>
          <w:p w:rsidR="00E81B9F" w:rsidRPr="00A5235B" w:rsidRDefault="00E81B9F" w:rsidP="00A5235B">
            <w:pPr>
              <w:pStyle w:val="Capa3"/>
              <w:ind w:left="480"/>
              <w:rPr>
                <w:sz w:val="16"/>
                <w:szCs w:val="16"/>
              </w:rPr>
            </w:pPr>
            <w:r w:rsidRPr="00A5235B">
              <w:rPr>
                <w:sz w:val="16"/>
                <w:szCs w:val="16"/>
              </w:rPr>
              <w:t xml:space="preserve">Amilcar </w:t>
            </w:r>
            <w:r w:rsidR="00C169C1" w:rsidRPr="00A5235B">
              <w:rPr>
                <w:sz w:val="16"/>
                <w:szCs w:val="16"/>
              </w:rPr>
              <w:t xml:space="preserve">Gonçalves </w:t>
            </w:r>
            <w:r w:rsidRPr="00A5235B">
              <w:rPr>
                <w:sz w:val="16"/>
                <w:szCs w:val="16"/>
              </w:rPr>
              <w:t>Guerreiro</w:t>
            </w:r>
          </w:p>
          <w:p w:rsidR="00E81B9F" w:rsidRPr="00A5235B" w:rsidRDefault="00E81B9F" w:rsidP="00A5235B">
            <w:pPr>
              <w:pStyle w:val="Capa2"/>
              <w:ind w:left="480"/>
              <w:rPr>
                <w:sz w:val="16"/>
                <w:szCs w:val="16"/>
              </w:rPr>
            </w:pPr>
            <w:r w:rsidRPr="00A5235B">
              <w:rPr>
                <w:sz w:val="16"/>
                <w:szCs w:val="16"/>
              </w:rPr>
              <w:t>Diretor de Estudos de Energia Elétrica</w:t>
            </w:r>
          </w:p>
          <w:p w:rsidR="00E81B9F" w:rsidRPr="00A5235B" w:rsidRDefault="00E81B9F" w:rsidP="00A5235B">
            <w:pPr>
              <w:pStyle w:val="Capa3"/>
              <w:ind w:left="480"/>
              <w:rPr>
                <w:sz w:val="16"/>
                <w:szCs w:val="16"/>
              </w:rPr>
            </w:pPr>
            <w:r w:rsidRPr="00A5235B">
              <w:rPr>
                <w:sz w:val="16"/>
                <w:szCs w:val="16"/>
              </w:rPr>
              <w:t xml:space="preserve">José Carlos de </w:t>
            </w:r>
            <w:smartTag w:uri="urn:schemas-microsoft-com:office:smarttags" w:element="PersonName">
              <w:r w:rsidRPr="00A5235B">
                <w:rPr>
                  <w:sz w:val="16"/>
                  <w:szCs w:val="16"/>
                </w:rPr>
                <w:t>Miranda Farias</w:t>
              </w:r>
            </w:smartTag>
          </w:p>
          <w:p w:rsidR="00E81B9F" w:rsidRPr="00A5235B" w:rsidRDefault="00E81B9F" w:rsidP="00A5235B">
            <w:pPr>
              <w:pStyle w:val="Capa2"/>
              <w:ind w:left="480"/>
              <w:rPr>
                <w:sz w:val="16"/>
                <w:szCs w:val="16"/>
              </w:rPr>
            </w:pPr>
            <w:r w:rsidRPr="00A5235B">
              <w:rPr>
                <w:sz w:val="16"/>
                <w:szCs w:val="16"/>
              </w:rPr>
              <w:t>Diretor de Estudos d</w:t>
            </w:r>
            <w:r w:rsidR="00D201CA" w:rsidRPr="00A5235B">
              <w:rPr>
                <w:sz w:val="16"/>
                <w:szCs w:val="16"/>
              </w:rPr>
              <w:t>e Petróleo, Gás e Biocombustíveis</w:t>
            </w:r>
          </w:p>
          <w:p w:rsidR="00024CB4" w:rsidRPr="00A5235B" w:rsidRDefault="00024CB4" w:rsidP="00A5235B">
            <w:pPr>
              <w:pStyle w:val="Capa2"/>
              <w:ind w:left="480"/>
              <w:rPr>
                <w:b w:val="0"/>
                <w:sz w:val="16"/>
                <w:szCs w:val="16"/>
              </w:rPr>
            </w:pPr>
            <w:r w:rsidRPr="00A5235B">
              <w:rPr>
                <w:b w:val="0"/>
                <w:sz w:val="16"/>
                <w:szCs w:val="16"/>
              </w:rPr>
              <w:t>Elson Ronaldo Nunes</w:t>
            </w:r>
          </w:p>
          <w:p w:rsidR="00024CB4" w:rsidRPr="00A5235B" w:rsidRDefault="00024CB4" w:rsidP="00A5235B">
            <w:pPr>
              <w:pStyle w:val="Capa2"/>
              <w:ind w:left="480"/>
              <w:rPr>
                <w:b w:val="0"/>
                <w:sz w:val="16"/>
                <w:szCs w:val="16"/>
              </w:rPr>
            </w:pPr>
          </w:p>
          <w:p w:rsidR="00E81B9F" w:rsidRPr="00A5235B" w:rsidRDefault="00E81B9F" w:rsidP="00A5235B">
            <w:pPr>
              <w:pStyle w:val="Capa2"/>
              <w:ind w:left="480"/>
              <w:rPr>
                <w:sz w:val="16"/>
                <w:szCs w:val="16"/>
              </w:rPr>
            </w:pPr>
            <w:r w:rsidRPr="00A5235B">
              <w:rPr>
                <w:sz w:val="16"/>
                <w:szCs w:val="16"/>
              </w:rPr>
              <w:t>Diretor de Gestão Corporativa</w:t>
            </w:r>
          </w:p>
          <w:p w:rsidR="00E81B9F" w:rsidRPr="00A5235B" w:rsidRDefault="00C02F1C" w:rsidP="00A5235B">
            <w:pPr>
              <w:pStyle w:val="Capa2"/>
              <w:ind w:left="480"/>
              <w:rPr>
                <w:b w:val="0"/>
                <w:sz w:val="16"/>
                <w:szCs w:val="16"/>
              </w:rPr>
            </w:pPr>
            <w:r>
              <w:rPr>
                <w:b w:val="0"/>
                <w:sz w:val="16"/>
                <w:szCs w:val="16"/>
              </w:rPr>
              <w:t>Alvaro Henrique Matias Pereira</w:t>
            </w:r>
          </w:p>
          <w:p w:rsidR="00E81B9F" w:rsidRPr="00A5235B" w:rsidRDefault="00E81B9F" w:rsidP="00A5235B">
            <w:pPr>
              <w:pStyle w:val="Capa2"/>
              <w:spacing w:line="120" w:lineRule="auto"/>
              <w:ind w:left="480"/>
              <w:rPr>
                <w:b w:val="0"/>
              </w:rPr>
            </w:pPr>
          </w:p>
        </w:tc>
        <w:tc>
          <w:tcPr>
            <w:tcW w:w="4860" w:type="dxa"/>
            <w:shd w:val="clear" w:color="auto" w:fill="auto"/>
            <w:vAlign w:val="bottom"/>
          </w:tcPr>
          <w:p w:rsidR="0075544A" w:rsidRPr="00244A93" w:rsidRDefault="0075544A" w:rsidP="0075544A">
            <w:pPr>
              <w:pStyle w:val="Capa2"/>
              <w:ind w:right="72"/>
              <w:jc w:val="right"/>
              <w:rPr>
                <w:sz w:val="16"/>
                <w:szCs w:val="16"/>
              </w:rPr>
            </w:pPr>
            <w:r w:rsidRPr="00244A93">
              <w:rPr>
                <w:sz w:val="16"/>
                <w:szCs w:val="16"/>
              </w:rPr>
              <w:t>Coordenação Geral</w:t>
            </w:r>
          </w:p>
          <w:p w:rsidR="0075544A" w:rsidRPr="00C31412" w:rsidRDefault="0075544A" w:rsidP="0075544A">
            <w:pPr>
              <w:pStyle w:val="Capa3"/>
              <w:spacing w:after="0"/>
              <w:ind w:right="72"/>
              <w:jc w:val="right"/>
              <w:rPr>
                <w:sz w:val="16"/>
                <w:szCs w:val="16"/>
              </w:rPr>
            </w:pPr>
            <w:r w:rsidRPr="00C31412">
              <w:rPr>
                <w:sz w:val="16"/>
                <w:szCs w:val="16"/>
              </w:rPr>
              <w:t>Mauricio Tiomno Tolmasquim</w:t>
            </w:r>
          </w:p>
          <w:p w:rsidR="0075544A" w:rsidRPr="00C31412" w:rsidRDefault="0075544A" w:rsidP="0075544A">
            <w:pPr>
              <w:pStyle w:val="Capa3"/>
              <w:spacing w:after="0"/>
              <w:ind w:right="72"/>
              <w:jc w:val="right"/>
              <w:rPr>
                <w:sz w:val="16"/>
                <w:szCs w:val="16"/>
              </w:rPr>
            </w:pPr>
            <w:smartTag w:uri="urn:schemas-microsoft-com:office:smarttags" w:element="PersonName">
              <w:smartTagPr>
                <w:attr w:name="ProductID" w:val="Jos￩ Carlos de Miranda"/>
              </w:smartTagPr>
              <w:r w:rsidRPr="00C31412">
                <w:rPr>
                  <w:sz w:val="16"/>
                  <w:szCs w:val="16"/>
                </w:rPr>
                <w:t xml:space="preserve">José Carlos de </w:t>
              </w:r>
              <w:smartTag w:uri="urn:schemas-microsoft-com:office:smarttags" w:element="PersonName">
                <w:r w:rsidRPr="00C31412">
                  <w:rPr>
                    <w:sz w:val="16"/>
                    <w:szCs w:val="16"/>
                  </w:rPr>
                  <w:t>Miranda</w:t>
                </w:r>
              </w:smartTag>
            </w:smartTag>
            <w:r w:rsidRPr="00C31412">
              <w:rPr>
                <w:sz w:val="16"/>
                <w:szCs w:val="16"/>
              </w:rPr>
              <w:t xml:space="preserve"> Farias</w:t>
            </w:r>
          </w:p>
          <w:p w:rsidR="0075544A" w:rsidRPr="002A3922" w:rsidRDefault="0075544A" w:rsidP="0075544A">
            <w:pPr>
              <w:pStyle w:val="Capa3"/>
              <w:ind w:right="72"/>
              <w:jc w:val="right"/>
              <w:rPr>
                <w:sz w:val="18"/>
                <w:szCs w:val="18"/>
              </w:rPr>
            </w:pPr>
          </w:p>
          <w:p w:rsidR="0075544A" w:rsidRPr="00A5235B" w:rsidRDefault="0075544A" w:rsidP="0075544A">
            <w:pPr>
              <w:pStyle w:val="Capa2"/>
              <w:ind w:left="480" w:right="75"/>
              <w:jc w:val="right"/>
              <w:rPr>
                <w:sz w:val="16"/>
                <w:szCs w:val="16"/>
              </w:rPr>
            </w:pPr>
            <w:r>
              <w:rPr>
                <w:sz w:val="16"/>
                <w:szCs w:val="16"/>
              </w:rPr>
              <w:t xml:space="preserve">                                 </w:t>
            </w:r>
            <w:r w:rsidRPr="00A5235B">
              <w:rPr>
                <w:sz w:val="16"/>
                <w:szCs w:val="16"/>
              </w:rPr>
              <w:t>Coordenação Executiva</w:t>
            </w:r>
          </w:p>
          <w:p w:rsidR="0075544A" w:rsidRPr="00A5235B" w:rsidRDefault="0075544A" w:rsidP="0075544A">
            <w:pPr>
              <w:pStyle w:val="Capa3"/>
              <w:spacing w:after="0"/>
              <w:ind w:left="480" w:right="75"/>
              <w:jc w:val="right"/>
              <w:rPr>
                <w:sz w:val="16"/>
                <w:szCs w:val="16"/>
              </w:rPr>
            </w:pPr>
            <w:r>
              <w:rPr>
                <w:sz w:val="16"/>
                <w:szCs w:val="16"/>
              </w:rPr>
              <w:t xml:space="preserve">                             </w:t>
            </w:r>
            <w:r w:rsidRPr="00A5235B">
              <w:rPr>
                <w:sz w:val="16"/>
                <w:szCs w:val="16"/>
              </w:rPr>
              <w:t>Oduvaldo Barroso da Silva</w:t>
            </w:r>
          </w:p>
          <w:p w:rsidR="0075544A" w:rsidRPr="00E70F24" w:rsidRDefault="0075544A" w:rsidP="0075544A">
            <w:pPr>
              <w:pStyle w:val="Capa2"/>
              <w:ind w:right="72"/>
              <w:jc w:val="right"/>
              <w:rPr>
                <w:sz w:val="16"/>
                <w:szCs w:val="16"/>
                <w:highlight w:val="yellow"/>
              </w:rPr>
            </w:pPr>
          </w:p>
          <w:p w:rsidR="0075544A" w:rsidRPr="00116C6C" w:rsidRDefault="0075544A" w:rsidP="0075544A">
            <w:pPr>
              <w:pStyle w:val="Capa2"/>
              <w:ind w:right="72"/>
              <w:jc w:val="right"/>
              <w:rPr>
                <w:sz w:val="16"/>
                <w:szCs w:val="16"/>
              </w:rPr>
            </w:pPr>
            <w:r w:rsidRPr="00116C6C">
              <w:rPr>
                <w:sz w:val="16"/>
                <w:szCs w:val="16"/>
              </w:rPr>
              <w:t>Equipe Técnica</w:t>
            </w:r>
          </w:p>
          <w:p w:rsidR="005D5016" w:rsidRDefault="005D5016" w:rsidP="0075544A">
            <w:pPr>
              <w:pStyle w:val="TextoCapa"/>
              <w:spacing w:before="0"/>
              <w:ind w:left="249" w:right="74"/>
              <w:jc w:val="right"/>
              <w:rPr>
                <w:sz w:val="16"/>
                <w:szCs w:val="16"/>
              </w:rPr>
            </w:pPr>
            <w:r>
              <w:rPr>
                <w:sz w:val="16"/>
                <w:szCs w:val="16"/>
              </w:rPr>
              <w:t xml:space="preserve">Hermes Trigo </w:t>
            </w:r>
            <w:r w:rsidR="00B456F9">
              <w:rPr>
                <w:sz w:val="16"/>
                <w:szCs w:val="16"/>
              </w:rPr>
              <w:t xml:space="preserve">Dias </w:t>
            </w:r>
            <w:r>
              <w:rPr>
                <w:sz w:val="16"/>
                <w:szCs w:val="16"/>
              </w:rPr>
              <w:t>da Silva</w:t>
            </w:r>
          </w:p>
          <w:p w:rsidR="00E81B9F" w:rsidRPr="00A5235B" w:rsidRDefault="00E81B9F" w:rsidP="00A5235B">
            <w:pPr>
              <w:pStyle w:val="Capa3"/>
              <w:ind w:left="480" w:right="-79"/>
              <w:jc w:val="right"/>
              <w:rPr>
                <w:sz w:val="18"/>
                <w:szCs w:val="18"/>
              </w:rPr>
            </w:pPr>
          </w:p>
          <w:p w:rsidR="008C3917" w:rsidRPr="00A5235B" w:rsidRDefault="008C3917" w:rsidP="00435B59">
            <w:pPr>
              <w:ind w:left="480" w:right="-79"/>
              <w:jc w:val="right"/>
              <w:rPr>
                <w:rFonts w:ascii="Tahoma" w:hAnsi="Tahoma" w:cs="Tahoma"/>
                <w:sz w:val="16"/>
                <w:szCs w:val="16"/>
              </w:rPr>
            </w:pPr>
          </w:p>
        </w:tc>
      </w:tr>
      <w:tr w:rsidR="00E81B9F" w:rsidRPr="00D30F1E" w:rsidTr="00B34A5E">
        <w:trPr>
          <w:trHeight w:val="1439"/>
        </w:trPr>
        <w:tc>
          <w:tcPr>
            <w:tcW w:w="4736" w:type="dxa"/>
            <w:shd w:val="clear" w:color="auto" w:fill="auto"/>
            <w:vAlign w:val="bottom"/>
          </w:tcPr>
          <w:p w:rsidR="00E81B9F" w:rsidRPr="00B7647E" w:rsidRDefault="00E81B9F" w:rsidP="00A5235B">
            <w:pPr>
              <w:spacing w:after="120"/>
              <w:ind w:left="480"/>
              <w:rPr>
                <w:rFonts w:ascii="Tahoma" w:hAnsi="Tahoma" w:cs="Tahoma"/>
                <w:sz w:val="14"/>
                <w:szCs w:val="14"/>
              </w:rPr>
            </w:pPr>
          </w:p>
          <w:p w:rsidR="00E81B9F" w:rsidRPr="00A5235B" w:rsidRDefault="00E81B9F" w:rsidP="00A5235B">
            <w:pPr>
              <w:spacing w:after="120"/>
              <w:ind w:left="480"/>
              <w:rPr>
                <w:rFonts w:ascii="Tahoma" w:hAnsi="Tahoma" w:cs="Tahoma"/>
                <w:sz w:val="14"/>
                <w:szCs w:val="14"/>
                <w:lang w:val="it-IT"/>
              </w:rPr>
            </w:pPr>
            <w:r w:rsidRPr="00A5235B">
              <w:rPr>
                <w:rFonts w:ascii="Tahoma" w:hAnsi="Tahoma" w:cs="Tahoma"/>
                <w:sz w:val="14"/>
                <w:szCs w:val="14"/>
                <w:lang w:val="it-IT"/>
              </w:rPr>
              <w:t xml:space="preserve">URL: </w:t>
            </w:r>
            <w:r w:rsidR="00DA7738" w:rsidRPr="00DA7738">
              <w:fldChar w:fldCharType="begin"/>
            </w:r>
            <w:r w:rsidR="0053758E" w:rsidRPr="0053758E">
              <w:rPr>
                <w:lang w:val="en-US"/>
              </w:rPr>
              <w:instrText xml:space="preserve"> HYPERLINK "http://www.epe.gov.br" </w:instrText>
            </w:r>
            <w:r w:rsidR="00DA7738" w:rsidRPr="00DA7738">
              <w:fldChar w:fldCharType="separate"/>
            </w:r>
            <w:r w:rsidRPr="00A5235B">
              <w:rPr>
                <w:rStyle w:val="Hyperlink"/>
                <w:rFonts w:ascii="Tahoma" w:hAnsi="Tahoma" w:cs="Tahoma"/>
                <w:sz w:val="14"/>
                <w:szCs w:val="14"/>
                <w:lang w:val="it-IT"/>
              </w:rPr>
              <w:t>http://www.epe.gov.br</w:t>
            </w:r>
            <w:r w:rsidR="00DA7738">
              <w:rPr>
                <w:rStyle w:val="Hyperlink"/>
                <w:rFonts w:ascii="Tahoma" w:hAnsi="Tahoma" w:cs="Tahoma"/>
                <w:sz w:val="14"/>
                <w:szCs w:val="14"/>
                <w:lang w:val="it-IT"/>
              </w:rPr>
              <w:fldChar w:fldCharType="end"/>
            </w:r>
          </w:p>
          <w:p w:rsidR="00E81B9F" w:rsidRPr="00A5235B" w:rsidRDefault="00E81B9F" w:rsidP="00A5235B">
            <w:pPr>
              <w:ind w:left="480"/>
              <w:rPr>
                <w:rFonts w:ascii="Tahoma" w:hAnsi="Tahoma" w:cs="Tahoma"/>
                <w:b/>
                <w:sz w:val="14"/>
                <w:szCs w:val="14"/>
                <w:lang w:val="it-IT"/>
              </w:rPr>
            </w:pPr>
            <w:r w:rsidRPr="00A5235B">
              <w:rPr>
                <w:rFonts w:ascii="Tahoma" w:hAnsi="Tahoma" w:cs="Tahoma"/>
                <w:b/>
                <w:sz w:val="14"/>
                <w:szCs w:val="14"/>
                <w:lang w:val="it-IT"/>
              </w:rPr>
              <w:t>Sede</w:t>
            </w:r>
          </w:p>
          <w:p w:rsidR="00E81B9F" w:rsidRPr="00A5235B" w:rsidRDefault="00E81B9F" w:rsidP="00A5235B">
            <w:pPr>
              <w:pStyle w:val="Rodap"/>
              <w:tabs>
                <w:tab w:val="left" w:pos="1701"/>
                <w:tab w:val="left" w:pos="2552"/>
              </w:tabs>
              <w:ind w:left="480"/>
              <w:rPr>
                <w:rFonts w:ascii="Tahoma" w:hAnsi="Tahoma" w:cs="Tahoma"/>
                <w:sz w:val="14"/>
                <w:szCs w:val="14"/>
                <w:lang w:val="it-IT"/>
              </w:rPr>
            </w:pPr>
            <w:r w:rsidRPr="00A5235B">
              <w:rPr>
                <w:rFonts w:ascii="Tahoma" w:hAnsi="Tahoma" w:cs="Tahoma"/>
                <w:sz w:val="14"/>
                <w:szCs w:val="14"/>
                <w:lang w:val="it-IT"/>
              </w:rPr>
              <w:t>SAN – Quadra 1 – Bloco B – Sala 100-A</w:t>
            </w:r>
          </w:p>
          <w:p w:rsidR="00E81B9F" w:rsidRPr="00A5235B" w:rsidRDefault="00E81B9F" w:rsidP="00A5235B">
            <w:pPr>
              <w:pStyle w:val="Rodap"/>
              <w:tabs>
                <w:tab w:val="left" w:pos="1440"/>
                <w:tab w:val="left" w:pos="2880"/>
              </w:tabs>
              <w:ind w:left="480"/>
              <w:rPr>
                <w:rFonts w:ascii="Tahoma" w:hAnsi="Tahoma" w:cs="Tahoma"/>
                <w:sz w:val="14"/>
                <w:szCs w:val="14"/>
              </w:rPr>
            </w:pPr>
            <w:r w:rsidRPr="00A5235B">
              <w:rPr>
                <w:rFonts w:ascii="Tahoma" w:hAnsi="Tahoma" w:cs="Tahoma"/>
                <w:sz w:val="14"/>
                <w:szCs w:val="14"/>
              </w:rPr>
              <w:t>70041-903 - Brasília – DF</w:t>
            </w:r>
          </w:p>
          <w:p w:rsidR="00E81B9F" w:rsidRPr="00A5235B" w:rsidRDefault="00E81B9F" w:rsidP="00A5235B">
            <w:pPr>
              <w:pStyle w:val="Rodap"/>
              <w:tabs>
                <w:tab w:val="clear" w:pos="4419"/>
                <w:tab w:val="clear" w:pos="8838"/>
                <w:tab w:val="left" w:pos="1701"/>
                <w:tab w:val="left" w:pos="2552"/>
                <w:tab w:val="left" w:pos="6237"/>
                <w:tab w:val="left" w:pos="7371"/>
                <w:tab w:val="left" w:pos="8789"/>
              </w:tabs>
              <w:spacing w:before="60"/>
              <w:ind w:left="480"/>
              <w:rPr>
                <w:rFonts w:ascii="Tahoma" w:hAnsi="Tahoma" w:cs="Tahoma"/>
                <w:b/>
                <w:sz w:val="14"/>
                <w:szCs w:val="14"/>
              </w:rPr>
            </w:pPr>
            <w:r w:rsidRPr="00A5235B">
              <w:rPr>
                <w:rFonts w:ascii="Tahoma" w:hAnsi="Tahoma" w:cs="Tahoma"/>
                <w:b/>
                <w:sz w:val="14"/>
                <w:szCs w:val="14"/>
              </w:rPr>
              <w:t>Escritório Central</w:t>
            </w:r>
          </w:p>
          <w:p w:rsidR="00E81B9F" w:rsidRPr="00A5235B" w:rsidRDefault="00E81B9F" w:rsidP="00A5235B">
            <w:pPr>
              <w:pStyle w:val="Rodap"/>
              <w:tabs>
                <w:tab w:val="clear" w:pos="4419"/>
                <w:tab w:val="clear" w:pos="8838"/>
                <w:tab w:val="left" w:pos="1701"/>
                <w:tab w:val="left" w:pos="2552"/>
                <w:tab w:val="left" w:pos="6237"/>
                <w:tab w:val="left" w:pos="7371"/>
                <w:tab w:val="left" w:pos="8789"/>
              </w:tabs>
              <w:ind w:left="480"/>
              <w:rPr>
                <w:rFonts w:ascii="Tahoma" w:hAnsi="Tahoma" w:cs="Tahoma"/>
                <w:sz w:val="14"/>
                <w:szCs w:val="14"/>
              </w:rPr>
            </w:pPr>
            <w:r w:rsidRPr="00A5235B">
              <w:rPr>
                <w:rFonts w:ascii="Tahoma" w:hAnsi="Tahoma" w:cs="Tahoma"/>
                <w:sz w:val="14"/>
                <w:szCs w:val="14"/>
              </w:rPr>
              <w:t>Av. Rio Branco, 01 – 11º Andar</w:t>
            </w:r>
          </w:p>
          <w:p w:rsidR="00E81B9F" w:rsidRPr="00A5235B" w:rsidRDefault="00E81B9F" w:rsidP="00A5235B">
            <w:pPr>
              <w:pStyle w:val="Rodap"/>
              <w:tabs>
                <w:tab w:val="clear" w:pos="4419"/>
                <w:tab w:val="clear" w:pos="8838"/>
                <w:tab w:val="left" w:pos="1701"/>
                <w:tab w:val="left" w:pos="2552"/>
                <w:tab w:val="left" w:pos="6237"/>
                <w:tab w:val="left" w:pos="7371"/>
                <w:tab w:val="left" w:pos="8789"/>
              </w:tabs>
              <w:ind w:left="480"/>
              <w:rPr>
                <w:rFonts w:ascii="Tahoma" w:hAnsi="Tahoma" w:cs="Tahoma"/>
                <w:b/>
                <w:sz w:val="14"/>
                <w:szCs w:val="14"/>
              </w:rPr>
            </w:pPr>
            <w:r w:rsidRPr="00A5235B">
              <w:rPr>
                <w:rFonts w:ascii="Tahoma" w:hAnsi="Tahoma" w:cs="Tahoma"/>
                <w:sz w:val="14"/>
                <w:szCs w:val="14"/>
              </w:rPr>
              <w:t>20090-003 - Rio de Janeiro – RJ</w:t>
            </w:r>
          </w:p>
        </w:tc>
        <w:tc>
          <w:tcPr>
            <w:tcW w:w="4860" w:type="dxa"/>
            <w:shd w:val="clear" w:color="auto" w:fill="auto"/>
            <w:vAlign w:val="bottom"/>
          </w:tcPr>
          <w:p w:rsidR="00E81B9F" w:rsidRPr="00C21A42" w:rsidRDefault="00E81B9F" w:rsidP="00A5235B">
            <w:pPr>
              <w:pStyle w:val="TextoCapa"/>
              <w:tabs>
                <w:tab w:val="left" w:pos="720"/>
              </w:tabs>
              <w:spacing w:before="0"/>
              <w:ind w:left="252" w:right="-79"/>
              <w:jc w:val="right"/>
              <w:rPr>
                <w:b/>
                <w:sz w:val="22"/>
                <w:szCs w:val="22"/>
              </w:rPr>
            </w:pPr>
          </w:p>
          <w:p w:rsidR="00E81B9F" w:rsidRPr="00C21A42" w:rsidRDefault="00E81B9F" w:rsidP="00A5235B">
            <w:pPr>
              <w:pStyle w:val="TextoCapa"/>
              <w:tabs>
                <w:tab w:val="left" w:pos="720"/>
              </w:tabs>
              <w:spacing w:before="0"/>
              <w:ind w:left="252" w:right="-79"/>
              <w:jc w:val="right"/>
              <w:rPr>
                <w:b/>
                <w:sz w:val="22"/>
                <w:szCs w:val="22"/>
              </w:rPr>
            </w:pPr>
          </w:p>
          <w:p w:rsidR="00E81B9F" w:rsidRPr="00C21A42" w:rsidRDefault="00E81B9F" w:rsidP="00A5235B">
            <w:pPr>
              <w:pStyle w:val="TextoCapa"/>
              <w:tabs>
                <w:tab w:val="left" w:pos="720"/>
              </w:tabs>
              <w:spacing w:before="0"/>
              <w:ind w:left="252" w:right="-79"/>
              <w:jc w:val="right"/>
              <w:rPr>
                <w:b/>
                <w:sz w:val="22"/>
                <w:szCs w:val="22"/>
              </w:rPr>
            </w:pPr>
          </w:p>
          <w:p w:rsidR="00E81B9F" w:rsidRPr="00C21A42" w:rsidRDefault="00E81B9F" w:rsidP="00A5235B">
            <w:pPr>
              <w:pStyle w:val="TextoCapa"/>
              <w:tabs>
                <w:tab w:val="left" w:pos="720"/>
              </w:tabs>
              <w:spacing w:before="0"/>
              <w:ind w:left="252" w:right="-79"/>
              <w:jc w:val="right"/>
              <w:rPr>
                <w:b/>
                <w:sz w:val="22"/>
                <w:szCs w:val="22"/>
              </w:rPr>
            </w:pPr>
          </w:p>
          <w:p w:rsidR="00E81B9F" w:rsidRPr="00C21A42" w:rsidRDefault="00E81B9F" w:rsidP="00A5235B">
            <w:pPr>
              <w:pStyle w:val="TextoCapa"/>
              <w:tabs>
                <w:tab w:val="left" w:pos="720"/>
              </w:tabs>
              <w:spacing w:before="0"/>
              <w:ind w:left="252" w:right="-79"/>
              <w:jc w:val="right"/>
              <w:rPr>
                <w:b/>
              </w:rPr>
            </w:pPr>
            <w:r w:rsidRPr="00C21A42">
              <w:rPr>
                <w:b/>
              </w:rPr>
              <w:t>N</w:t>
            </w:r>
            <w:r w:rsidRPr="00C21A42">
              <w:rPr>
                <w:b/>
                <w:vertAlign w:val="superscript"/>
              </w:rPr>
              <w:t>o</w:t>
            </w:r>
            <w:r w:rsidR="001A118D" w:rsidRPr="00C21A42">
              <w:rPr>
                <w:b/>
              </w:rPr>
              <w:t xml:space="preserve"> </w:t>
            </w:r>
            <w:r w:rsidRPr="00C21A42">
              <w:rPr>
                <w:b/>
              </w:rPr>
              <w:t>EPE-DEE-</w:t>
            </w:r>
            <w:r w:rsidR="00C21A42" w:rsidRPr="00C21A42">
              <w:rPr>
                <w:b/>
              </w:rPr>
              <w:t>NT</w:t>
            </w:r>
            <w:r w:rsidRPr="00C21A42">
              <w:rPr>
                <w:b/>
              </w:rPr>
              <w:t>-</w:t>
            </w:r>
            <w:r w:rsidR="00C21A42" w:rsidRPr="00C21A42">
              <w:rPr>
                <w:b/>
              </w:rPr>
              <w:t>132</w:t>
            </w:r>
            <w:r w:rsidRPr="00C21A42">
              <w:rPr>
                <w:b/>
              </w:rPr>
              <w:t>/2</w:t>
            </w:r>
            <w:r w:rsidR="00A60D30" w:rsidRPr="00C21A42">
              <w:rPr>
                <w:b/>
              </w:rPr>
              <w:t>01</w:t>
            </w:r>
            <w:r w:rsidR="00C53979" w:rsidRPr="00C21A42">
              <w:rPr>
                <w:b/>
              </w:rPr>
              <w:t>3</w:t>
            </w:r>
            <w:r w:rsidRPr="00C21A42">
              <w:rPr>
                <w:b/>
              </w:rPr>
              <w:t>-</w:t>
            </w:r>
            <w:r w:rsidR="000B07FC" w:rsidRPr="00C21A42">
              <w:rPr>
                <w:b/>
              </w:rPr>
              <w:t>r</w:t>
            </w:r>
            <w:r w:rsidR="00AA683E" w:rsidRPr="00C21A42">
              <w:rPr>
                <w:b/>
              </w:rPr>
              <w:t>0</w:t>
            </w:r>
          </w:p>
          <w:p w:rsidR="00E81B9F" w:rsidRPr="00C21A42" w:rsidRDefault="003A6373" w:rsidP="00C21A42">
            <w:pPr>
              <w:pStyle w:val="TextoCapa"/>
              <w:spacing w:before="0"/>
              <w:ind w:left="252" w:right="-79"/>
              <w:jc w:val="right"/>
            </w:pPr>
            <w:r w:rsidRPr="00C21A42">
              <w:t>Data:</w:t>
            </w:r>
            <w:r w:rsidR="00E81B9F" w:rsidRPr="00C21A42">
              <w:t xml:space="preserve"> </w:t>
            </w:r>
            <w:r w:rsidR="00C21A42" w:rsidRPr="00C21A42">
              <w:t>12</w:t>
            </w:r>
            <w:r w:rsidR="005850FB" w:rsidRPr="00C21A42">
              <w:t xml:space="preserve"> de </w:t>
            </w:r>
            <w:r w:rsidR="00B34A5E" w:rsidRPr="00C21A42">
              <w:t>novembro</w:t>
            </w:r>
            <w:r w:rsidR="00E81B9F" w:rsidRPr="00C21A42">
              <w:t xml:space="preserve"> de 20</w:t>
            </w:r>
            <w:r w:rsidR="00A60D30" w:rsidRPr="00C21A42">
              <w:t>1</w:t>
            </w:r>
            <w:r w:rsidR="00C53979" w:rsidRPr="00C21A42">
              <w:t>3</w:t>
            </w:r>
          </w:p>
        </w:tc>
      </w:tr>
    </w:tbl>
    <w:p w:rsidR="00E81B9F" w:rsidRDefault="00E81B9F" w:rsidP="004F26EC">
      <w:pPr>
        <w:pStyle w:val="Capa1"/>
        <w:sectPr w:rsidR="00E81B9F" w:rsidSect="006551FB">
          <w:headerReference w:type="default" r:id="rId14"/>
          <w:pgSz w:w="11907" w:h="16840" w:code="9"/>
          <w:pgMar w:top="1418" w:right="1134" w:bottom="1134" w:left="1418" w:header="907" w:footer="1021" w:gutter="0"/>
          <w:cols w:space="720"/>
          <w:docGrid w:linePitch="360"/>
        </w:sectPr>
      </w:pPr>
    </w:p>
    <w:p w:rsidR="00FD1C6F" w:rsidRPr="00FD1C6F" w:rsidRDefault="00A47389" w:rsidP="00FD1C6F">
      <w:pPr>
        <w:spacing w:before="240" w:after="240" w:line="360" w:lineRule="exact"/>
        <w:ind w:left="284"/>
        <w:jc w:val="both"/>
        <w:rPr>
          <w:rFonts w:ascii="Tahoma" w:hAnsi="Tahoma" w:cs="Tahoma"/>
          <w:sz w:val="22"/>
          <w:szCs w:val="22"/>
        </w:rPr>
      </w:pPr>
      <w:r>
        <w:rPr>
          <w:rFonts w:ascii="Tahoma" w:hAnsi="Tahoma" w:cs="Tahoma"/>
          <w:sz w:val="22"/>
          <w:szCs w:val="22"/>
        </w:rPr>
        <w:lastRenderedPageBreak/>
        <w:t xml:space="preserve"> </w:t>
      </w:r>
    </w:p>
    <w:p w:rsidR="00B202BC" w:rsidRDefault="00B202BC" w:rsidP="00B202BC">
      <w:pPr>
        <w:rPr>
          <w:rFonts w:ascii="Tahoma" w:hAnsi="Tahoma" w:cs="Tahoma"/>
          <w:b/>
        </w:rPr>
      </w:pPr>
      <w:r w:rsidRPr="00F72CA0">
        <w:rPr>
          <w:rFonts w:ascii="Tahoma" w:hAnsi="Tahoma" w:cs="Tahoma"/>
          <w:b/>
        </w:rPr>
        <w:t>Histórico de Revisões</w:t>
      </w:r>
    </w:p>
    <w:p w:rsidR="00B202BC" w:rsidRPr="00F72CA0" w:rsidRDefault="00B202BC" w:rsidP="00B202BC">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1418"/>
        <w:gridCol w:w="7402"/>
      </w:tblGrid>
      <w:tr w:rsidR="00B202BC" w:rsidTr="00EB2E95">
        <w:tc>
          <w:tcPr>
            <w:tcW w:w="675" w:type="dxa"/>
          </w:tcPr>
          <w:p w:rsidR="00B202BC" w:rsidRPr="00731788" w:rsidRDefault="00B202BC" w:rsidP="00EB2E95">
            <w:pPr>
              <w:pStyle w:val="Capa1"/>
              <w:spacing w:before="120" w:after="120"/>
              <w:jc w:val="both"/>
              <w:rPr>
                <w:sz w:val="20"/>
                <w:szCs w:val="20"/>
              </w:rPr>
            </w:pPr>
            <w:r w:rsidRPr="00731788">
              <w:rPr>
                <w:sz w:val="20"/>
                <w:szCs w:val="20"/>
              </w:rPr>
              <w:t>Rev.</w:t>
            </w:r>
          </w:p>
        </w:tc>
        <w:tc>
          <w:tcPr>
            <w:tcW w:w="1418" w:type="dxa"/>
          </w:tcPr>
          <w:p w:rsidR="00B202BC" w:rsidRPr="00731788" w:rsidRDefault="00B202BC" w:rsidP="00EB2E95">
            <w:pPr>
              <w:pStyle w:val="Capa1"/>
              <w:spacing w:before="120" w:after="120"/>
              <w:jc w:val="both"/>
              <w:rPr>
                <w:sz w:val="20"/>
                <w:szCs w:val="20"/>
              </w:rPr>
            </w:pPr>
            <w:r w:rsidRPr="00731788">
              <w:rPr>
                <w:sz w:val="20"/>
                <w:szCs w:val="20"/>
              </w:rPr>
              <w:t>Data</w:t>
            </w:r>
          </w:p>
        </w:tc>
        <w:tc>
          <w:tcPr>
            <w:tcW w:w="7402" w:type="dxa"/>
          </w:tcPr>
          <w:p w:rsidR="00B202BC" w:rsidRPr="00731788" w:rsidRDefault="00B202BC" w:rsidP="00EB2E95">
            <w:pPr>
              <w:pStyle w:val="Capa1"/>
              <w:spacing w:before="120" w:after="120"/>
              <w:jc w:val="both"/>
              <w:rPr>
                <w:sz w:val="20"/>
                <w:szCs w:val="20"/>
              </w:rPr>
            </w:pPr>
            <w:r w:rsidRPr="00731788">
              <w:rPr>
                <w:sz w:val="20"/>
                <w:szCs w:val="20"/>
              </w:rPr>
              <w:t>Descrição</w:t>
            </w:r>
          </w:p>
        </w:tc>
      </w:tr>
      <w:tr w:rsidR="00B202BC" w:rsidTr="00EB2E95">
        <w:tc>
          <w:tcPr>
            <w:tcW w:w="675" w:type="dxa"/>
          </w:tcPr>
          <w:p w:rsidR="00B202BC" w:rsidRPr="00731788" w:rsidRDefault="00B202BC" w:rsidP="00EB2E95">
            <w:pPr>
              <w:pStyle w:val="Capa1"/>
              <w:spacing w:before="120" w:after="120"/>
              <w:jc w:val="both"/>
              <w:rPr>
                <w:b w:val="0"/>
                <w:bCs/>
                <w:sz w:val="20"/>
                <w:szCs w:val="20"/>
              </w:rPr>
            </w:pPr>
            <w:r w:rsidRPr="00731788">
              <w:rPr>
                <w:b w:val="0"/>
                <w:bCs/>
                <w:sz w:val="20"/>
                <w:szCs w:val="20"/>
              </w:rPr>
              <w:t>0</w:t>
            </w:r>
          </w:p>
        </w:tc>
        <w:tc>
          <w:tcPr>
            <w:tcW w:w="1418" w:type="dxa"/>
          </w:tcPr>
          <w:p w:rsidR="00B202BC" w:rsidRPr="00C21A42" w:rsidRDefault="00C21A42" w:rsidP="00B34A5E">
            <w:pPr>
              <w:pStyle w:val="Capa1"/>
              <w:spacing w:before="120" w:after="120"/>
              <w:jc w:val="both"/>
              <w:rPr>
                <w:b w:val="0"/>
                <w:bCs/>
                <w:sz w:val="20"/>
                <w:szCs w:val="20"/>
              </w:rPr>
            </w:pPr>
            <w:r w:rsidRPr="00C21A42">
              <w:rPr>
                <w:b w:val="0"/>
                <w:bCs/>
                <w:sz w:val="20"/>
                <w:szCs w:val="20"/>
              </w:rPr>
              <w:t>12</w:t>
            </w:r>
            <w:r w:rsidR="00B202BC" w:rsidRPr="00C21A42">
              <w:rPr>
                <w:b w:val="0"/>
                <w:bCs/>
                <w:sz w:val="20"/>
                <w:szCs w:val="20"/>
              </w:rPr>
              <w:t>/</w:t>
            </w:r>
            <w:r w:rsidR="00AA683E" w:rsidRPr="00C21A42">
              <w:rPr>
                <w:b w:val="0"/>
                <w:bCs/>
                <w:sz w:val="20"/>
                <w:szCs w:val="20"/>
              </w:rPr>
              <w:t>1</w:t>
            </w:r>
            <w:r w:rsidR="00B34A5E" w:rsidRPr="00C21A42">
              <w:rPr>
                <w:b w:val="0"/>
                <w:bCs/>
                <w:sz w:val="20"/>
                <w:szCs w:val="20"/>
              </w:rPr>
              <w:t>1</w:t>
            </w:r>
            <w:r w:rsidR="00B202BC" w:rsidRPr="00C21A42">
              <w:rPr>
                <w:b w:val="0"/>
                <w:bCs/>
                <w:sz w:val="20"/>
                <w:szCs w:val="20"/>
              </w:rPr>
              <w:t>/20</w:t>
            </w:r>
            <w:r w:rsidR="00185829" w:rsidRPr="00C21A42">
              <w:rPr>
                <w:b w:val="0"/>
                <w:bCs/>
                <w:sz w:val="20"/>
                <w:szCs w:val="20"/>
              </w:rPr>
              <w:t>1</w:t>
            </w:r>
            <w:r w:rsidR="00C53979" w:rsidRPr="00C21A42">
              <w:rPr>
                <w:b w:val="0"/>
                <w:bCs/>
                <w:sz w:val="20"/>
                <w:szCs w:val="20"/>
              </w:rPr>
              <w:t>3</w:t>
            </w:r>
          </w:p>
        </w:tc>
        <w:tc>
          <w:tcPr>
            <w:tcW w:w="7402" w:type="dxa"/>
          </w:tcPr>
          <w:p w:rsidR="00B202BC" w:rsidRPr="00731788" w:rsidRDefault="00B202BC" w:rsidP="00EB2E95">
            <w:pPr>
              <w:pStyle w:val="Capa1"/>
              <w:spacing w:before="120" w:after="120"/>
              <w:jc w:val="both"/>
              <w:rPr>
                <w:b w:val="0"/>
                <w:bCs/>
                <w:sz w:val="20"/>
                <w:szCs w:val="20"/>
              </w:rPr>
            </w:pPr>
            <w:r w:rsidRPr="00731788">
              <w:rPr>
                <w:b w:val="0"/>
                <w:bCs/>
                <w:sz w:val="20"/>
                <w:szCs w:val="20"/>
              </w:rPr>
              <w:t>Publicação Original</w:t>
            </w:r>
          </w:p>
        </w:tc>
      </w:tr>
    </w:tbl>
    <w:p w:rsidR="007F4162" w:rsidRPr="00846907" w:rsidRDefault="007F4162" w:rsidP="007F4162">
      <w:pPr>
        <w:pStyle w:val="EstiloTtulo1"/>
        <w:numPr>
          <w:ilvl w:val="0"/>
          <w:numId w:val="0"/>
        </w:numPr>
        <w:spacing w:before="600" w:after="200"/>
        <w:ind w:left="284"/>
        <w:jc w:val="center"/>
        <w:rPr>
          <w:rFonts w:ascii="Tahoma" w:hAnsi="Tahoma" w:cs="Tahoma"/>
          <w:b/>
          <w:sz w:val="26"/>
          <w:szCs w:val="26"/>
        </w:rPr>
      </w:pPr>
    </w:p>
    <w:p w:rsidR="007F4162" w:rsidRPr="00846907" w:rsidRDefault="007F4162" w:rsidP="007F4162">
      <w:pPr>
        <w:pStyle w:val="EstiloTtulo1"/>
        <w:numPr>
          <w:ilvl w:val="0"/>
          <w:numId w:val="0"/>
        </w:numPr>
        <w:spacing w:before="600" w:after="200"/>
        <w:ind w:left="284"/>
        <w:jc w:val="center"/>
        <w:rPr>
          <w:rFonts w:ascii="Tahoma" w:hAnsi="Tahoma" w:cs="Tahoma"/>
          <w:b/>
          <w:sz w:val="26"/>
          <w:szCs w:val="26"/>
        </w:rPr>
      </w:pPr>
    </w:p>
    <w:p w:rsidR="007F4162" w:rsidRPr="00846907" w:rsidRDefault="007F4162" w:rsidP="007F4162">
      <w:pPr>
        <w:pStyle w:val="EstiloTtulo1"/>
        <w:numPr>
          <w:ilvl w:val="0"/>
          <w:numId w:val="0"/>
        </w:numPr>
        <w:spacing w:before="600" w:after="200"/>
        <w:ind w:left="284"/>
        <w:jc w:val="center"/>
        <w:rPr>
          <w:rFonts w:ascii="Tahoma" w:hAnsi="Tahoma" w:cs="Tahoma"/>
          <w:b/>
          <w:sz w:val="26"/>
          <w:szCs w:val="26"/>
        </w:rPr>
      </w:pPr>
    </w:p>
    <w:p w:rsidR="007F4162" w:rsidRPr="00846907"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7F4162" w:rsidRDefault="007F4162" w:rsidP="007F4162">
      <w:pPr>
        <w:pStyle w:val="EstiloTtulo1"/>
        <w:numPr>
          <w:ilvl w:val="0"/>
          <w:numId w:val="0"/>
        </w:numPr>
        <w:spacing w:before="600" w:after="200"/>
        <w:ind w:left="284"/>
        <w:jc w:val="center"/>
        <w:rPr>
          <w:rFonts w:ascii="Tahoma" w:hAnsi="Tahoma" w:cs="Tahoma"/>
          <w:b/>
          <w:sz w:val="26"/>
          <w:szCs w:val="26"/>
        </w:rPr>
      </w:pPr>
    </w:p>
    <w:p w:rsidR="00B202BC" w:rsidRDefault="00B202BC" w:rsidP="007F4162">
      <w:pPr>
        <w:pStyle w:val="EstiloTtulo1"/>
        <w:numPr>
          <w:ilvl w:val="0"/>
          <w:numId w:val="0"/>
        </w:numPr>
        <w:spacing w:before="600" w:after="200"/>
        <w:ind w:left="284"/>
        <w:jc w:val="center"/>
        <w:rPr>
          <w:rFonts w:ascii="Tahoma" w:hAnsi="Tahoma" w:cs="Tahoma"/>
          <w:b/>
          <w:sz w:val="26"/>
          <w:szCs w:val="26"/>
        </w:rPr>
      </w:pPr>
    </w:p>
    <w:p w:rsidR="00E81B9F" w:rsidRPr="00F81488" w:rsidRDefault="007F4162" w:rsidP="007F4162">
      <w:pPr>
        <w:pStyle w:val="EstiloTtulo1"/>
        <w:numPr>
          <w:ilvl w:val="0"/>
          <w:numId w:val="0"/>
        </w:numPr>
        <w:spacing w:before="600" w:after="200"/>
        <w:ind w:left="284"/>
        <w:jc w:val="center"/>
        <w:rPr>
          <w:rFonts w:ascii="Tahoma" w:hAnsi="Tahoma" w:cs="Tahoma"/>
          <w:b/>
          <w:sz w:val="26"/>
          <w:szCs w:val="26"/>
        </w:rPr>
      </w:pPr>
      <w:r w:rsidRPr="00F81488">
        <w:rPr>
          <w:rFonts w:ascii="Tahoma" w:hAnsi="Tahoma" w:cs="Tahoma"/>
          <w:b/>
          <w:sz w:val="26"/>
          <w:szCs w:val="26"/>
        </w:rPr>
        <w:lastRenderedPageBreak/>
        <w:t>Índice</w:t>
      </w:r>
    </w:p>
    <w:p w:rsidR="00E81B9F" w:rsidRPr="00F81488" w:rsidRDefault="00E81B9F" w:rsidP="00C83AFB">
      <w:pPr>
        <w:pStyle w:val="Capa1"/>
        <w:ind w:left="284"/>
        <w:jc w:val="center"/>
        <w:rPr>
          <w:sz w:val="24"/>
          <w:szCs w:val="24"/>
        </w:rPr>
      </w:pPr>
    </w:p>
    <w:p w:rsidR="00F81488" w:rsidRPr="00F81488" w:rsidRDefault="00DA7738">
      <w:pPr>
        <w:pStyle w:val="Sumrio1"/>
        <w:rPr>
          <w:rFonts w:asciiTheme="minorHAnsi" w:eastAsiaTheme="minorEastAsia" w:hAnsiTheme="minorHAnsi" w:cstheme="minorBidi"/>
          <w:bCs w:val="0"/>
          <w:i w:val="0"/>
          <w:iCs w:val="0"/>
        </w:rPr>
      </w:pPr>
      <w:r w:rsidRPr="00DA7738">
        <w:rPr>
          <w:sz w:val="24"/>
          <w:szCs w:val="24"/>
        </w:rPr>
        <w:fldChar w:fldCharType="begin"/>
      </w:r>
      <w:r w:rsidR="00F0316D" w:rsidRPr="00F81488">
        <w:instrText xml:space="preserve"> TOC \o "1-4" \h \z \u </w:instrText>
      </w:r>
      <w:r w:rsidRPr="00DA7738">
        <w:rPr>
          <w:sz w:val="24"/>
          <w:szCs w:val="24"/>
        </w:rPr>
        <w:fldChar w:fldCharType="separate"/>
      </w:r>
      <w:hyperlink w:anchor="_Toc372037081" w:history="1">
        <w:r w:rsidR="00F81488" w:rsidRPr="00F81488">
          <w:rPr>
            <w:rStyle w:val="Hyperlink"/>
            <w:b/>
            <w:color w:val="auto"/>
          </w:rPr>
          <w:t>APRESENTAÇÃO</w:t>
        </w:r>
        <w:r w:rsidR="00F81488" w:rsidRPr="00F81488">
          <w:rPr>
            <w:webHidden/>
          </w:rPr>
          <w:tab/>
        </w:r>
        <w:r w:rsidRPr="00F81488">
          <w:rPr>
            <w:webHidden/>
          </w:rPr>
          <w:fldChar w:fldCharType="begin"/>
        </w:r>
        <w:r w:rsidR="00F81488" w:rsidRPr="00F81488">
          <w:rPr>
            <w:webHidden/>
          </w:rPr>
          <w:instrText xml:space="preserve"> PAGEREF _Toc372037081 \h </w:instrText>
        </w:r>
        <w:r w:rsidRPr="00F81488">
          <w:rPr>
            <w:webHidden/>
          </w:rPr>
        </w:r>
        <w:r w:rsidRPr="00F81488">
          <w:rPr>
            <w:webHidden/>
          </w:rPr>
          <w:fldChar w:fldCharType="separate"/>
        </w:r>
        <w:r w:rsidR="00F81488" w:rsidRPr="00F81488">
          <w:rPr>
            <w:webHidden/>
          </w:rPr>
          <w:t>6</w:t>
        </w:r>
        <w:r w:rsidRPr="00F81488">
          <w:rPr>
            <w:webHidden/>
          </w:rPr>
          <w:fldChar w:fldCharType="end"/>
        </w:r>
      </w:hyperlink>
    </w:p>
    <w:p w:rsidR="00F81488" w:rsidRPr="00F81488" w:rsidRDefault="00DA7738">
      <w:pPr>
        <w:pStyle w:val="Sumrio1"/>
        <w:rPr>
          <w:rFonts w:asciiTheme="minorHAnsi" w:eastAsiaTheme="minorEastAsia" w:hAnsiTheme="minorHAnsi" w:cstheme="minorBidi"/>
          <w:bCs w:val="0"/>
          <w:i w:val="0"/>
          <w:iCs w:val="0"/>
        </w:rPr>
      </w:pPr>
      <w:hyperlink w:anchor="_Toc372037082" w:history="1">
        <w:r w:rsidR="00F81488" w:rsidRPr="00F81488">
          <w:rPr>
            <w:rStyle w:val="Hyperlink"/>
            <w:b/>
            <w:color w:val="auto"/>
          </w:rPr>
          <w:t>1. Introdução</w:t>
        </w:r>
        <w:r w:rsidR="00F81488" w:rsidRPr="00F81488">
          <w:rPr>
            <w:webHidden/>
          </w:rPr>
          <w:tab/>
        </w:r>
        <w:r w:rsidRPr="00F81488">
          <w:rPr>
            <w:webHidden/>
          </w:rPr>
          <w:fldChar w:fldCharType="begin"/>
        </w:r>
        <w:r w:rsidR="00F81488" w:rsidRPr="00F81488">
          <w:rPr>
            <w:webHidden/>
          </w:rPr>
          <w:instrText xml:space="preserve"> PAGEREF _Toc372037082 \h </w:instrText>
        </w:r>
        <w:r w:rsidRPr="00F81488">
          <w:rPr>
            <w:webHidden/>
          </w:rPr>
        </w:r>
        <w:r w:rsidRPr="00F81488">
          <w:rPr>
            <w:webHidden/>
          </w:rPr>
          <w:fldChar w:fldCharType="separate"/>
        </w:r>
        <w:r w:rsidR="00F81488" w:rsidRPr="00F81488">
          <w:rPr>
            <w:webHidden/>
          </w:rPr>
          <w:t>7</w:t>
        </w:r>
        <w:r w:rsidRPr="00F81488">
          <w:rPr>
            <w:webHidden/>
          </w:rPr>
          <w:fldChar w:fldCharType="end"/>
        </w:r>
      </w:hyperlink>
    </w:p>
    <w:p w:rsidR="00F81488" w:rsidRPr="00F81488" w:rsidRDefault="00DA7738">
      <w:pPr>
        <w:pStyle w:val="Sumrio1"/>
        <w:rPr>
          <w:rFonts w:asciiTheme="minorHAnsi" w:eastAsiaTheme="minorEastAsia" w:hAnsiTheme="minorHAnsi" w:cstheme="minorBidi"/>
          <w:bCs w:val="0"/>
          <w:i w:val="0"/>
          <w:iCs w:val="0"/>
        </w:rPr>
      </w:pPr>
      <w:hyperlink w:anchor="_Toc372037083" w:history="1">
        <w:r w:rsidR="00F81488" w:rsidRPr="00F81488">
          <w:rPr>
            <w:rStyle w:val="Hyperlink"/>
            <w:b/>
            <w:color w:val="auto"/>
          </w:rPr>
          <w:t>2. Revisão de Garantia Física das Usinas Termelétricas a Carvão Mineral Nacional, Beneficiárias da CDE, e Submetidas a Processo de Modernização</w:t>
        </w:r>
        <w:r w:rsidR="00F81488" w:rsidRPr="00F81488">
          <w:rPr>
            <w:webHidden/>
          </w:rPr>
          <w:tab/>
        </w:r>
        <w:r w:rsidRPr="00F81488">
          <w:rPr>
            <w:webHidden/>
          </w:rPr>
          <w:fldChar w:fldCharType="begin"/>
        </w:r>
        <w:r w:rsidR="00F81488" w:rsidRPr="00F81488">
          <w:rPr>
            <w:webHidden/>
          </w:rPr>
          <w:instrText xml:space="preserve"> PAGEREF _Toc372037083 \h </w:instrText>
        </w:r>
        <w:r w:rsidRPr="00F81488">
          <w:rPr>
            <w:webHidden/>
          </w:rPr>
        </w:r>
        <w:r w:rsidRPr="00F81488">
          <w:rPr>
            <w:webHidden/>
          </w:rPr>
          <w:fldChar w:fldCharType="separate"/>
        </w:r>
        <w:r w:rsidR="00F81488" w:rsidRPr="00F81488">
          <w:rPr>
            <w:webHidden/>
          </w:rPr>
          <w:t>9</w:t>
        </w:r>
        <w:r w:rsidRPr="00F81488">
          <w:rPr>
            <w:webHidden/>
          </w:rPr>
          <w:fldChar w:fldCharType="end"/>
        </w:r>
      </w:hyperlink>
    </w:p>
    <w:p w:rsidR="00F81488" w:rsidRPr="00F81488" w:rsidRDefault="00DA7738">
      <w:pPr>
        <w:pStyle w:val="Sumrio1"/>
        <w:rPr>
          <w:rFonts w:asciiTheme="minorHAnsi" w:eastAsiaTheme="minorEastAsia" w:hAnsiTheme="minorHAnsi" w:cstheme="minorBidi"/>
          <w:bCs w:val="0"/>
          <w:i w:val="0"/>
          <w:iCs w:val="0"/>
        </w:rPr>
      </w:pPr>
      <w:hyperlink w:anchor="_Toc372037084" w:history="1">
        <w:r w:rsidR="00F81488" w:rsidRPr="00F81488">
          <w:rPr>
            <w:rStyle w:val="Hyperlink"/>
            <w:b/>
            <w:color w:val="auto"/>
          </w:rPr>
          <w:t>2.1. Metodologia de Cálculo</w:t>
        </w:r>
        <w:r w:rsidR="00F81488" w:rsidRPr="00F81488">
          <w:rPr>
            <w:webHidden/>
          </w:rPr>
          <w:tab/>
        </w:r>
        <w:r w:rsidRPr="00F81488">
          <w:rPr>
            <w:webHidden/>
          </w:rPr>
          <w:fldChar w:fldCharType="begin"/>
        </w:r>
        <w:r w:rsidR="00F81488" w:rsidRPr="00F81488">
          <w:rPr>
            <w:webHidden/>
          </w:rPr>
          <w:instrText xml:space="preserve"> PAGEREF _Toc372037084 \h </w:instrText>
        </w:r>
        <w:r w:rsidRPr="00F81488">
          <w:rPr>
            <w:webHidden/>
          </w:rPr>
        </w:r>
        <w:r w:rsidRPr="00F81488">
          <w:rPr>
            <w:webHidden/>
          </w:rPr>
          <w:fldChar w:fldCharType="separate"/>
        </w:r>
        <w:r w:rsidR="00F81488" w:rsidRPr="00F81488">
          <w:rPr>
            <w:webHidden/>
          </w:rPr>
          <w:t>9</w:t>
        </w:r>
        <w:r w:rsidRPr="00F81488">
          <w:rPr>
            <w:webHidden/>
          </w:rPr>
          <w:fldChar w:fldCharType="end"/>
        </w:r>
      </w:hyperlink>
    </w:p>
    <w:p w:rsidR="00F81488" w:rsidRPr="00F81488" w:rsidRDefault="00DA7738">
      <w:pPr>
        <w:pStyle w:val="Sumrio1"/>
        <w:rPr>
          <w:rFonts w:asciiTheme="minorHAnsi" w:eastAsiaTheme="minorEastAsia" w:hAnsiTheme="minorHAnsi" w:cstheme="minorBidi"/>
          <w:bCs w:val="0"/>
          <w:i w:val="0"/>
          <w:iCs w:val="0"/>
        </w:rPr>
      </w:pPr>
      <w:hyperlink w:anchor="_Toc372037085" w:history="1">
        <w:r w:rsidR="00F81488" w:rsidRPr="00F81488">
          <w:rPr>
            <w:rStyle w:val="Hyperlink"/>
            <w:b/>
            <w:color w:val="auto"/>
          </w:rPr>
          <w:t>2.2. Critérios e Premissas</w:t>
        </w:r>
        <w:r w:rsidR="00F81488" w:rsidRPr="00F81488">
          <w:rPr>
            <w:webHidden/>
          </w:rPr>
          <w:tab/>
        </w:r>
        <w:r w:rsidRPr="00F81488">
          <w:rPr>
            <w:webHidden/>
          </w:rPr>
          <w:fldChar w:fldCharType="begin"/>
        </w:r>
        <w:r w:rsidR="00F81488" w:rsidRPr="00F81488">
          <w:rPr>
            <w:webHidden/>
          </w:rPr>
          <w:instrText xml:space="preserve"> PAGEREF _Toc372037085 \h </w:instrText>
        </w:r>
        <w:r w:rsidRPr="00F81488">
          <w:rPr>
            <w:webHidden/>
          </w:rPr>
        </w:r>
        <w:r w:rsidRPr="00F81488">
          <w:rPr>
            <w:webHidden/>
          </w:rPr>
          <w:fldChar w:fldCharType="separate"/>
        </w:r>
        <w:r w:rsidR="00F81488" w:rsidRPr="00F81488">
          <w:rPr>
            <w:webHidden/>
          </w:rPr>
          <w:t>10</w:t>
        </w:r>
        <w:r w:rsidRPr="00F81488">
          <w:rPr>
            <w:webHidden/>
          </w:rPr>
          <w:fldChar w:fldCharType="end"/>
        </w:r>
      </w:hyperlink>
    </w:p>
    <w:p w:rsidR="00F81488" w:rsidRPr="00F81488" w:rsidRDefault="00DA7738">
      <w:pPr>
        <w:pStyle w:val="Sumrio1"/>
        <w:rPr>
          <w:rFonts w:asciiTheme="minorHAnsi" w:eastAsiaTheme="minorEastAsia" w:hAnsiTheme="minorHAnsi" w:cstheme="minorBidi"/>
          <w:bCs w:val="0"/>
          <w:i w:val="0"/>
          <w:iCs w:val="0"/>
        </w:rPr>
      </w:pPr>
      <w:hyperlink w:anchor="_Toc372037086" w:history="1">
        <w:r w:rsidR="00F81488" w:rsidRPr="00F81488">
          <w:rPr>
            <w:rStyle w:val="Hyperlink"/>
            <w:b/>
            <w:color w:val="auto"/>
          </w:rPr>
          <w:t>3. Cálculo do montante revisto de Garantia Física da UTE Figueira</w:t>
        </w:r>
        <w:r w:rsidR="00F81488" w:rsidRPr="00F81488">
          <w:rPr>
            <w:webHidden/>
          </w:rPr>
          <w:tab/>
        </w:r>
        <w:r w:rsidRPr="00F81488">
          <w:rPr>
            <w:webHidden/>
          </w:rPr>
          <w:fldChar w:fldCharType="begin"/>
        </w:r>
        <w:r w:rsidR="00F81488" w:rsidRPr="00F81488">
          <w:rPr>
            <w:webHidden/>
          </w:rPr>
          <w:instrText xml:space="preserve"> PAGEREF _Toc372037086 \h </w:instrText>
        </w:r>
        <w:r w:rsidRPr="00F81488">
          <w:rPr>
            <w:webHidden/>
          </w:rPr>
        </w:r>
        <w:r w:rsidRPr="00F81488">
          <w:rPr>
            <w:webHidden/>
          </w:rPr>
          <w:fldChar w:fldCharType="separate"/>
        </w:r>
        <w:r w:rsidR="00F81488" w:rsidRPr="00F81488">
          <w:rPr>
            <w:webHidden/>
          </w:rPr>
          <w:t>16</w:t>
        </w:r>
        <w:r w:rsidRPr="00F81488">
          <w:rPr>
            <w:webHidden/>
          </w:rPr>
          <w:fldChar w:fldCharType="end"/>
        </w:r>
      </w:hyperlink>
    </w:p>
    <w:p w:rsidR="00E81B9F" w:rsidRDefault="00DA7738" w:rsidP="00C83AFB">
      <w:pPr>
        <w:pStyle w:val="Capa1"/>
        <w:ind w:left="284"/>
        <w:jc w:val="center"/>
        <w:rPr>
          <w:rFonts w:ascii="Times New Roman" w:hAnsi="Times New Roman" w:cs="Times New Roman"/>
          <w:sz w:val="24"/>
          <w:szCs w:val="24"/>
        </w:rPr>
      </w:pPr>
      <w:r w:rsidRPr="00F81488">
        <w:rPr>
          <w:bCs/>
          <w:i/>
          <w:iCs/>
        </w:rPr>
        <w:fldChar w:fldCharType="end"/>
      </w:r>
    </w:p>
    <w:p w:rsidR="00E81B9F" w:rsidRDefault="00E81B9F" w:rsidP="00C83AFB">
      <w:pPr>
        <w:pStyle w:val="Capa1"/>
        <w:ind w:left="284"/>
        <w:jc w:val="center"/>
        <w:rPr>
          <w:sz w:val="24"/>
          <w:szCs w:val="24"/>
        </w:rPr>
      </w:pPr>
    </w:p>
    <w:p w:rsidR="00E81B9F" w:rsidRDefault="00E81B9F" w:rsidP="00C83AFB">
      <w:pPr>
        <w:pStyle w:val="Capa1"/>
        <w:ind w:left="284"/>
        <w:jc w:val="center"/>
        <w:rPr>
          <w:sz w:val="24"/>
          <w:szCs w:val="24"/>
        </w:rPr>
      </w:pPr>
    </w:p>
    <w:p w:rsidR="00E81B9F" w:rsidRDefault="00E81B9F" w:rsidP="00C83AFB">
      <w:pPr>
        <w:pStyle w:val="Capa1"/>
        <w:ind w:left="284"/>
        <w:jc w:val="center"/>
        <w:rPr>
          <w:sz w:val="24"/>
          <w:szCs w:val="24"/>
        </w:rPr>
      </w:pPr>
    </w:p>
    <w:p w:rsidR="00E81B9F" w:rsidRDefault="00E81B9F" w:rsidP="00C83AFB">
      <w:pPr>
        <w:pStyle w:val="Capa1"/>
        <w:ind w:left="284"/>
        <w:jc w:val="center"/>
        <w:rPr>
          <w:sz w:val="24"/>
          <w:szCs w:val="24"/>
        </w:rPr>
      </w:pPr>
    </w:p>
    <w:p w:rsidR="00E81B9F" w:rsidRDefault="00E81B9F" w:rsidP="00C83AFB">
      <w:pPr>
        <w:pStyle w:val="Capa1"/>
        <w:ind w:left="284"/>
        <w:jc w:val="center"/>
        <w:rPr>
          <w:sz w:val="24"/>
          <w:szCs w:val="24"/>
        </w:rPr>
      </w:pPr>
    </w:p>
    <w:p w:rsidR="00E81B9F" w:rsidRDefault="00E81B9F" w:rsidP="00C83AFB">
      <w:pPr>
        <w:pStyle w:val="Capa1"/>
        <w:ind w:left="284"/>
        <w:jc w:val="center"/>
        <w:rPr>
          <w:sz w:val="24"/>
          <w:szCs w:val="24"/>
        </w:rPr>
      </w:pPr>
    </w:p>
    <w:p w:rsidR="007F4162" w:rsidRDefault="007F4162" w:rsidP="007F4162">
      <w:pPr>
        <w:pStyle w:val="EstiloTtulo1"/>
        <w:numPr>
          <w:ilvl w:val="0"/>
          <w:numId w:val="0"/>
        </w:numPr>
        <w:spacing w:before="1000" w:after="200"/>
        <w:ind w:left="284"/>
        <w:outlineLvl w:val="0"/>
        <w:rPr>
          <w:rFonts w:ascii="Tahoma" w:hAnsi="Tahoma" w:cs="Tahoma"/>
          <w:b/>
          <w:sz w:val="26"/>
          <w:szCs w:val="26"/>
        </w:rPr>
      </w:pPr>
    </w:p>
    <w:p w:rsidR="00EA5B7A" w:rsidRDefault="00EA5B7A">
      <w:pPr>
        <w:rPr>
          <w:rFonts w:ascii="Tahoma" w:hAnsi="Tahoma" w:cs="Tahoma"/>
          <w:b/>
          <w:sz w:val="26"/>
          <w:szCs w:val="26"/>
        </w:rPr>
      </w:pPr>
      <w:r>
        <w:rPr>
          <w:rFonts w:ascii="Tahoma" w:hAnsi="Tahoma" w:cs="Tahoma"/>
          <w:b/>
          <w:sz w:val="26"/>
          <w:szCs w:val="26"/>
        </w:rPr>
        <w:br w:type="page"/>
      </w:r>
    </w:p>
    <w:p w:rsidR="007F4162" w:rsidRPr="00585081" w:rsidRDefault="007F4162" w:rsidP="007F4162">
      <w:pPr>
        <w:pStyle w:val="EstiloTtulo1"/>
        <w:numPr>
          <w:ilvl w:val="0"/>
          <w:numId w:val="0"/>
        </w:numPr>
        <w:spacing w:before="1000" w:after="200"/>
        <w:ind w:left="284"/>
        <w:outlineLvl w:val="0"/>
        <w:rPr>
          <w:rFonts w:ascii="Tahoma" w:hAnsi="Tahoma" w:cs="Tahoma"/>
          <w:b/>
          <w:sz w:val="26"/>
          <w:szCs w:val="26"/>
        </w:rPr>
      </w:pPr>
      <w:bookmarkStart w:id="0" w:name="_Toc372037081"/>
      <w:r w:rsidRPr="00585081">
        <w:rPr>
          <w:rFonts w:ascii="Tahoma" w:hAnsi="Tahoma" w:cs="Tahoma"/>
          <w:b/>
          <w:sz w:val="26"/>
          <w:szCs w:val="26"/>
        </w:rPr>
        <w:lastRenderedPageBreak/>
        <w:t>APRESENTAÇÃO</w:t>
      </w:r>
      <w:bookmarkEnd w:id="0"/>
    </w:p>
    <w:p w:rsidR="00585081" w:rsidRPr="00585081" w:rsidRDefault="00215F53" w:rsidP="00B56B2E">
      <w:pPr>
        <w:spacing w:before="160" w:after="160" w:line="360" w:lineRule="exact"/>
        <w:ind w:left="284"/>
        <w:jc w:val="both"/>
        <w:rPr>
          <w:rFonts w:ascii="Tahoma" w:hAnsi="Tahoma" w:cs="Tahoma"/>
          <w:sz w:val="22"/>
          <w:szCs w:val="22"/>
        </w:rPr>
      </w:pPr>
      <w:r w:rsidRPr="00585081">
        <w:rPr>
          <w:rFonts w:ascii="Tahoma" w:hAnsi="Tahoma" w:cs="Tahoma"/>
          <w:sz w:val="22"/>
          <w:szCs w:val="22"/>
        </w:rPr>
        <w:t xml:space="preserve">A presente Nota Técnica registra os estudos </w:t>
      </w:r>
      <w:r w:rsidR="00B7647E">
        <w:rPr>
          <w:rFonts w:ascii="Tahoma" w:hAnsi="Tahoma" w:cs="Tahoma"/>
          <w:sz w:val="22"/>
          <w:szCs w:val="22"/>
        </w:rPr>
        <w:t xml:space="preserve">e cálculo </w:t>
      </w:r>
      <w:r w:rsidRPr="00585081">
        <w:rPr>
          <w:rFonts w:ascii="Tahoma" w:hAnsi="Tahoma" w:cs="Tahoma"/>
          <w:sz w:val="22"/>
          <w:szCs w:val="22"/>
        </w:rPr>
        <w:t xml:space="preserve">efetuados pela Empresa de Pesquisa Energética - EPE, em conformidade com a regulamentação vigente, para </w:t>
      </w:r>
      <w:r w:rsidR="00585081" w:rsidRPr="00585081">
        <w:rPr>
          <w:rFonts w:ascii="Tahoma" w:hAnsi="Tahoma" w:cs="Tahoma"/>
          <w:sz w:val="22"/>
          <w:szCs w:val="22"/>
        </w:rPr>
        <w:t xml:space="preserve">a revisão </w:t>
      </w:r>
      <w:r w:rsidRPr="00585081">
        <w:rPr>
          <w:rFonts w:ascii="Tahoma" w:hAnsi="Tahoma" w:cs="Tahoma"/>
          <w:sz w:val="22"/>
          <w:szCs w:val="22"/>
        </w:rPr>
        <w:t xml:space="preserve">da garantia física do empreendimento </w:t>
      </w:r>
      <w:r w:rsidR="005D5016" w:rsidRPr="00585081">
        <w:rPr>
          <w:rFonts w:ascii="Tahoma" w:hAnsi="Tahoma" w:cs="Tahoma"/>
          <w:sz w:val="22"/>
          <w:szCs w:val="22"/>
        </w:rPr>
        <w:t>termelétrico</w:t>
      </w:r>
      <w:r w:rsidR="00585081" w:rsidRPr="00585081">
        <w:rPr>
          <w:rFonts w:ascii="Tahoma" w:hAnsi="Tahoma" w:cs="Tahoma"/>
          <w:sz w:val="22"/>
          <w:szCs w:val="22"/>
        </w:rPr>
        <w:t xml:space="preserve"> UTE Figueira</w:t>
      </w:r>
      <w:r w:rsidR="00E319BB" w:rsidRPr="00585081">
        <w:rPr>
          <w:rFonts w:ascii="Tahoma" w:hAnsi="Tahoma" w:cs="Tahoma"/>
          <w:sz w:val="22"/>
          <w:szCs w:val="22"/>
        </w:rPr>
        <w:t>,</w:t>
      </w:r>
      <w:r w:rsidR="005D5016" w:rsidRPr="00585081">
        <w:rPr>
          <w:rFonts w:ascii="Tahoma" w:hAnsi="Tahoma" w:cs="Tahoma"/>
          <w:sz w:val="22"/>
          <w:szCs w:val="22"/>
        </w:rPr>
        <w:t xml:space="preserve"> </w:t>
      </w:r>
      <w:r w:rsidR="00585081" w:rsidRPr="00585081">
        <w:rPr>
          <w:rFonts w:ascii="Tahoma" w:hAnsi="Tahoma" w:cs="Tahoma"/>
          <w:sz w:val="22"/>
          <w:szCs w:val="22"/>
        </w:rPr>
        <w:t>motivada pela implantação do projeto de modernização da referida usina.</w:t>
      </w:r>
    </w:p>
    <w:p w:rsidR="00585081" w:rsidRPr="00585081" w:rsidRDefault="00585081" w:rsidP="00585081">
      <w:pPr>
        <w:spacing w:before="160" w:after="160" w:line="360" w:lineRule="exact"/>
        <w:ind w:left="284"/>
        <w:jc w:val="both"/>
        <w:rPr>
          <w:rFonts w:ascii="Tahoma" w:hAnsi="Tahoma" w:cs="Tahoma"/>
          <w:sz w:val="22"/>
          <w:szCs w:val="22"/>
        </w:rPr>
      </w:pPr>
      <w:r w:rsidRPr="00585081">
        <w:rPr>
          <w:rFonts w:ascii="Tahoma" w:hAnsi="Tahoma" w:cs="Tahoma"/>
          <w:sz w:val="22"/>
          <w:szCs w:val="22"/>
        </w:rPr>
        <w:t>A Portaria MME n° 279. de 22 de agosto de 2013, estabeleceu os critérios, procedimentos e diretrizes para a revisão da garantia física de energia de usinas termelétricas que utiliz</w:t>
      </w:r>
      <w:r w:rsidR="001B2275">
        <w:rPr>
          <w:rFonts w:ascii="Tahoma" w:hAnsi="Tahoma" w:cs="Tahoma"/>
          <w:sz w:val="22"/>
          <w:szCs w:val="22"/>
        </w:rPr>
        <w:t>a</w:t>
      </w:r>
      <w:r w:rsidRPr="00585081">
        <w:rPr>
          <w:rFonts w:ascii="Tahoma" w:hAnsi="Tahoma" w:cs="Tahoma"/>
          <w:sz w:val="22"/>
          <w:szCs w:val="22"/>
        </w:rPr>
        <w:t>m carvão mineral nacional, que sejam beneficiárias da Conta de Desenvolvimento Energético — CDE e que estejam submetidas a processo de modernização.</w:t>
      </w:r>
    </w:p>
    <w:p w:rsidR="00B73099" w:rsidRPr="00585081" w:rsidRDefault="00B73099" w:rsidP="00B73099">
      <w:pPr>
        <w:spacing w:before="240" w:after="240" w:line="360" w:lineRule="exact"/>
        <w:ind w:left="284"/>
        <w:jc w:val="both"/>
        <w:rPr>
          <w:rFonts w:ascii="Tahoma" w:hAnsi="Tahoma" w:cs="Tahoma"/>
          <w:sz w:val="22"/>
          <w:szCs w:val="22"/>
        </w:rPr>
      </w:pPr>
    </w:p>
    <w:p w:rsidR="00B73099" w:rsidRPr="00585081" w:rsidRDefault="00B73099" w:rsidP="00B73099">
      <w:pPr>
        <w:spacing w:before="240" w:after="240" w:line="360" w:lineRule="exact"/>
        <w:ind w:left="284"/>
        <w:jc w:val="both"/>
        <w:rPr>
          <w:rFonts w:ascii="Tahoma" w:hAnsi="Tahoma" w:cs="Tahoma"/>
          <w:b/>
          <w:sz w:val="22"/>
          <w:szCs w:val="22"/>
        </w:rPr>
      </w:pPr>
    </w:p>
    <w:p w:rsidR="00B73099" w:rsidRPr="00585081" w:rsidRDefault="00B73099" w:rsidP="00B56B2E">
      <w:pPr>
        <w:spacing w:before="160" w:after="160" w:line="360" w:lineRule="exact"/>
        <w:ind w:left="284"/>
        <w:jc w:val="both"/>
        <w:rPr>
          <w:rFonts w:ascii="Tahoma" w:hAnsi="Tahoma" w:cs="Tahoma"/>
          <w:sz w:val="22"/>
          <w:szCs w:val="22"/>
        </w:rPr>
      </w:pPr>
    </w:p>
    <w:p w:rsidR="00A75F27" w:rsidRPr="00585081" w:rsidRDefault="00A75F27">
      <w:pPr>
        <w:rPr>
          <w:rFonts w:ascii="Tahoma" w:hAnsi="Tahoma" w:cs="Tahoma"/>
          <w:b/>
          <w:sz w:val="26"/>
          <w:szCs w:val="26"/>
        </w:rPr>
      </w:pPr>
      <w:r w:rsidRPr="00585081">
        <w:rPr>
          <w:rFonts w:ascii="Tahoma" w:hAnsi="Tahoma" w:cs="Tahoma"/>
          <w:b/>
          <w:sz w:val="26"/>
          <w:szCs w:val="26"/>
        </w:rPr>
        <w:br w:type="page"/>
      </w:r>
    </w:p>
    <w:p w:rsidR="008868EB" w:rsidRPr="00180C75" w:rsidRDefault="007F4162" w:rsidP="007F4162">
      <w:pPr>
        <w:pStyle w:val="EstiloTtulo1"/>
        <w:numPr>
          <w:ilvl w:val="0"/>
          <w:numId w:val="0"/>
        </w:numPr>
        <w:spacing w:before="1000" w:after="200"/>
        <w:ind w:left="432" w:hanging="432"/>
        <w:outlineLvl w:val="0"/>
        <w:rPr>
          <w:rFonts w:ascii="Tahoma" w:hAnsi="Tahoma" w:cs="Tahoma"/>
          <w:b/>
          <w:sz w:val="26"/>
          <w:szCs w:val="26"/>
        </w:rPr>
      </w:pPr>
      <w:bookmarkStart w:id="1" w:name="_Toc372037082"/>
      <w:r w:rsidRPr="00180C75">
        <w:rPr>
          <w:rFonts w:ascii="Tahoma" w:hAnsi="Tahoma" w:cs="Tahoma"/>
          <w:b/>
          <w:sz w:val="26"/>
          <w:szCs w:val="26"/>
        </w:rPr>
        <w:lastRenderedPageBreak/>
        <w:t xml:space="preserve">1. </w:t>
      </w:r>
      <w:r w:rsidR="0040688A" w:rsidRPr="00180C75">
        <w:rPr>
          <w:rFonts w:ascii="Tahoma" w:hAnsi="Tahoma" w:cs="Tahoma"/>
          <w:b/>
          <w:sz w:val="26"/>
          <w:szCs w:val="26"/>
        </w:rPr>
        <w:t>Introdução</w:t>
      </w:r>
      <w:bookmarkEnd w:id="1"/>
    </w:p>
    <w:p w:rsidR="004A3615" w:rsidRPr="00180C75" w:rsidRDefault="004A3615" w:rsidP="009E1FE9">
      <w:pPr>
        <w:pStyle w:val="CorpodoTexto"/>
        <w:spacing w:before="160" w:after="160"/>
      </w:pPr>
      <w:r w:rsidRPr="00180C75">
        <w:t>A exploração da U</w:t>
      </w:r>
      <w:r w:rsidR="003B7C03" w:rsidRPr="00180C75">
        <w:t xml:space="preserve">sina </w:t>
      </w:r>
      <w:r w:rsidRPr="00180C75">
        <w:t>T</w:t>
      </w:r>
      <w:r w:rsidR="003B7C03" w:rsidRPr="00180C75">
        <w:t xml:space="preserve">ermelétrica – UTE – </w:t>
      </w:r>
      <w:r w:rsidRPr="00180C75">
        <w:t xml:space="preserve">Figueira é realizada mediante concessão para geração de energia elétrica destinada a serviço público, regida pelo Contrato de Concessão </w:t>
      </w:r>
      <w:r w:rsidR="003B7C03" w:rsidRPr="00180C75">
        <w:t xml:space="preserve">da </w:t>
      </w:r>
      <w:r w:rsidRPr="00180C75">
        <w:t>A</w:t>
      </w:r>
      <w:r w:rsidR="003B7C03" w:rsidRPr="00180C75">
        <w:t>gência Nacional de Energia Elétrica – ANEEL –</w:t>
      </w:r>
      <w:r w:rsidRPr="00180C75">
        <w:t xml:space="preserve"> nº 45/99 e seus respectivos termos aditivos.</w:t>
      </w:r>
    </w:p>
    <w:p w:rsidR="00375E3E" w:rsidRPr="00180C75" w:rsidRDefault="00375E3E" w:rsidP="009E1FE9">
      <w:pPr>
        <w:pStyle w:val="CorpodoTexto"/>
        <w:spacing w:before="160" w:after="160"/>
        <w:rPr>
          <w:rFonts w:ascii="Arial" w:hAnsi="Arial" w:cs="Arial"/>
        </w:rPr>
      </w:pPr>
      <w:r w:rsidRPr="00180C75">
        <w:t xml:space="preserve">A garantia física </w:t>
      </w:r>
      <w:r w:rsidR="004A3615" w:rsidRPr="00180C75">
        <w:t xml:space="preserve">da referida UTE foi </w:t>
      </w:r>
      <w:r w:rsidRPr="00180C75">
        <w:t xml:space="preserve">definida em 10,3 MWmédios </w:t>
      </w:r>
      <w:r w:rsidR="004A3615" w:rsidRPr="00180C75">
        <w:t>pela</w:t>
      </w:r>
      <w:r w:rsidRPr="00180C75">
        <w:t xml:space="preserve"> Portaria </w:t>
      </w:r>
      <w:r w:rsidR="003B7C03" w:rsidRPr="00180C75">
        <w:t xml:space="preserve">do Ministério de Minas e Energia – </w:t>
      </w:r>
      <w:r w:rsidRPr="00180C75">
        <w:t xml:space="preserve">MME </w:t>
      </w:r>
      <w:r w:rsidR="003B7C03" w:rsidRPr="00180C75">
        <w:t xml:space="preserve">– </w:t>
      </w:r>
      <w:r w:rsidRPr="00180C75">
        <w:t>n</w:t>
      </w:r>
      <w:r w:rsidRPr="00180C75">
        <w:rPr>
          <w:rFonts w:ascii="Arial" w:hAnsi="Arial" w:cs="Arial"/>
        </w:rPr>
        <w:t>º 303, de 18 de novembro de 2004, associada a uma potência de 20 MW.</w:t>
      </w:r>
    </w:p>
    <w:p w:rsidR="00375E3E" w:rsidRPr="00180C75" w:rsidRDefault="00DC7643" w:rsidP="009E1FE9">
      <w:pPr>
        <w:pStyle w:val="CorpodoTexto"/>
        <w:spacing w:before="160" w:after="160"/>
        <w:rPr>
          <w:rFonts w:ascii="Arial" w:hAnsi="Arial" w:cs="Arial"/>
        </w:rPr>
      </w:pPr>
      <w:r w:rsidRPr="00180C75">
        <w:rPr>
          <w:rFonts w:ascii="Arial" w:hAnsi="Arial" w:cs="Arial"/>
        </w:rPr>
        <w:t xml:space="preserve">A Resolução Autorizativa ANEEL nº 3.030, de </w:t>
      </w:r>
      <w:r w:rsidR="00B7647E">
        <w:rPr>
          <w:rFonts w:ascii="Arial" w:hAnsi="Arial" w:cs="Arial"/>
        </w:rPr>
        <w:t>0</w:t>
      </w:r>
      <w:r w:rsidRPr="00180C75">
        <w:rPr>
          <w:rFonts w:ascii="Arial" w:hAnsi="Arial" w:cs="Arial"/>
        </w:rPr>
        <w:t>9 de agosto de 2011</w:t>
      </w:r>
      <w:r w:rsidR="00B7647E">
        <w:rPr>
          <w:rFonts w:ascii="Arial" w:hAnsi="Arial" w:cs="Arial"/>
        </w:rPr>
        <w:t>,</w:t>
      </w:r>
      <w:r w:rsidRPr="00180C75">
        <w:rPr>
          <w:rFonts w:ascii="Arial" w:hAnsi="Arial" w:cs="Arial"/>
        </w:rPr>
        <w:t xml:space="preserve"> autorizou a Copel Geração e Transmissão S.A. a implantar o projeto de modernização da UTE Figueira instalando uma unidade de 20 MW e desativando as outras duas unidades </w:t>
      </w:r>
      <w:r w:rsidR="001B2275">
        <w:rPr>
          <w:rFonts w:ascii="Arial" w:hAnsi="Arial" w:cs="Arial"/>
        </w:rPr>
        <w:t xml:space="preserve">de 10 MW </w:t>
      </w:r>
      <w:r w:rsidRPr="00180C75">
        <w:rPr>
          <w:rFonts w:ascii="Arial" w:hAnsi="Arial" w:cs="Arial"/>
        </w:rPr>
        <w:t xml:space="preserve">em operação, mantendo a potência instalada </w:t>
      </w:r>
      <w:r w:rsidR="001B2275">
        <w:rPr>
          <w:rFonts w:ascii="Arial" w:hAnsi="Arial" w:cs="Arial"/>
        </w:rPr>
        <w:t xml:space="preserve">final </w:t>
      </w:r>
      <w:r w:rsidRPr="00180C75">
        <w:rPr>
          <w:rFonts w:ascii="Arial" w:hAnsi="Arial" w:cs="Arial"/>
        </w:rPr>
        <w:t>em 20 MW.</w:t>
      </w:r>
    </w:p>
    <w:p w:rsidR="00DC7643" w:rsidRPr="00180C75" w:rsidRDefault="00DC7643" w:rsidP="009E1FE9">
      <w:pPr>
        <w:pStyle w:val="CorpodoTexto"/>
        <w:spacing w:before="160" w:after="160"/>
        <w:rPr>
          <w:rFonts w:ascii="Arial" w:hAnsi="Arial" w:cs="Arial"/>
        </w:rPr>
      </w:pPr>
      <w:r w:rsidRPr="00180C75">
        <w:rPr>
          <w:rFonts w:ascii="Arial" w:hAnsi="Arial" w:cs="Arial"/>
        </w:rPr>
        <w:t>Em 24 de maio de 2012 e em 22 de agosto de 2012 foram encaminhadas ao MME, respectivamente</w:t>
      </w:r>
      <w:r w:rsidR="004A3615" w:rsidRPr="00180C75">
        <w:rPr>
          <w:rFonts w:ascii="Arial" w:hAnsi="Arial" w:cs="Arial"/>
        </w:rPr>
        <w:t>,</w:t>
      </w:r>
      <w:r w:rsidRPr="00180C75">
        <w:rPr>
          <w:rFonts w:ascii="Arial" w:hAnsi="Arial" w:cs="Arial"/>
        </w:rPr>
        <w:t xml:space="preserve"> as </w:t>
      </w:r>
      <w:r w:rsidR="00ED70A3" w:rsidRPr="00180C75">
        <w:rPr>
          <w:rFonts w:ascii="Arial" w:hAnsi="Arial" w:cs="Arial"/>
        </w:rPr>
        <w:t>C</w:t>
      </w:r>
      <w:r w:rsidRPr="00180C75">
        <w:rPr>
          <w:rFonts w:ascii="Arial" w:hAnsi="Arial" w:cs="Arial"/>
        </w:rPr>
        <w:t>artas DRPC-GeT-C/066/2012 e DRPC-C/1157/2012/DGT</w:t>
      </w:r>
      <w:r w:rsidR="004A3615" w:rsidRPr="00180C75">
        <w:rPr>
          <w:rFonts w:ascii="Arial" w:hAnsi="Arial" w:cs="Arial"/>
        </w:rPr>
        <w:t xml:space="preserve"> discorrendo sobre o projeto de modernização da UTE Figueira e solicitando o recálculo da garantia física dessa usina.</w:t>
      </w:r>
    </w:p>
    <w:p w:rsidR="004A3615" w:rsidRPr="00180C75" w:rsidRDefault="004A3615" w:rsidP="009E1FE9">
      <w:pPr>
        <w:pStyle w:val="CorpodoTexto"/>
        <w:spacing w:before="160" w:after="160"/>
        <w:rPr>
          <w:rFonts w:ascii="Arial" w:hAnsi="Arial" w:cs="Arial"/>
        </w:rPr>
      </w:pPr>
      <w:r w:rsidRPr="00180C75">
        <w:rPr>
          <w:rFonts w:ascii="Arial" w:hAnsi="Arial" w:cs="Arial"/>
        </w:rPr>
        <w:t>Em 22 de agosto de 2012, o Departamento de Planejamento Energético do MME elaborou a Nota Informativa nº 15/2012-DPE/SPE-MME em que faz uma descrição da situação do empreendimento.</w:t>
      </w:r>
    </w:p>
    <w:p w:rsidR="004A3615" w:rsidRPr="00180C75" w:rsidRDefault="004A3615" w:rsidP="009E1FE9">
      <w:pPr>
        <w:pStyle w:val="CorpodoTexto"/>
        <w:spacing w:before="160" w:after="160"/>
        <w:rPr>
          <w:rFonts w:ascii="Arial" w:hAnsi="Arial" w:cs="Arial"/>
        </w:rPr>
      </w:pPr>
      <w:r w:rsidRPr="00180C75">
        <w:rPr>
          <w:rFonts w:ascii="Arial" w:hAnsi="Arial" w:cs="Arial"/>
        </w:rPr>
        <w:t xml:space="preserve">Foi encaminhado </w:t>
      </w:r>
      <w:r w:rsidR="003B7C03" w:rsidRPr="00180C75">
        <w:rPr>
          <w:rFonts w:ascii="Arial" w:hAnsi="Arial" w:cs="Arial"/>
        </w:rPr>
        <w:t xml:space="preserve">pelo MME </w:t>
      </w:r>
      <w:r w:rsidRPr="00180C75">
        <w:rPr>
          <w:rFonts w:ascii="Arial" w:hAnsi="Arial" w:cs="Arial"/>
        </w:rPr>
        <w:t xml:space="preserve">à Empresa de Pesquisa Energética </w:t>
      </w:r>
      <w:r w:rsidR="003B7C03" w:rsidRPr="00180C75">
        <w:rPr>
          <w:rFonts w:ascii="Arial" w:hAnsi="Arial" w:cs="Arial"/>
        </w:rPr>
        <w:t>–</w:t>
      </w:r>
      <w:r w:rsidRPr="00180C75">
        <w:rPr>
          <w:rFonts w:ascii="Arial" w:hAnsi="Arial" w:cs="Arial"/>
        </w:rPr>
        <w:t xml:space="preserve"> EPE</w:t>
      </w:r>
      <w:r w:rsidR="003B7C03" w:rsidRPr="00180C75">
        <w:rPr>
          <w:rFonts w:ascii="Arial" w:hAnsi="Arial" w:cs="Arial"/>
        </w:rPr>
        <w:t xml:space="preserve"> – o Ofício nº 173/2012-DPE/SPE-MME, de 24 de setembro de 2012, solicitando a análise das características técnicas propostas pela Copel para a UTE Figueira e a apresentação dos esclarecimentos necessários quanto à viabilidade dessa proposta. Neste Ofício, foi destacad</w:t>
      </w:r>
      <w:r w:rsidR="001B2275">
        <w:rPr>
          <w:rFonts w:ascii="Arial" w:hAnsi="Arial" w:cs="Arial"/>
        </w:rPr>
        <w:t>a</w:t>
      </w:r>
      <w:r w:rsidR="003B7C03" w:rsidRPr="00180C75">
        <w:rPr>
          <w:rFonts w:ascii="Arial" w:hAnsi="Arial" w:cs="Arial"/>
        </w:rPr>
        <w:t>, ainda, a inexistência de metodologia específica para revisão das garantias físicas de termelétricas com custo variável não nulo, que não promoveram a mudança de combustível, sendo este o caso da citada usina.</w:t>
      </w:r>
    </w:p>
    <w:p w:rsidR="003B7C03" w:rsidRDefault="003B7C03" w:rsidP="009E1FE9">
      <w:pPr>
        <w:pStyle w:val="CorpodoTexto"/>
        <w:spacing w:before="160" w:after="160"/>
        <w:rPr>
          <w:rFonts w:ascii="Arial" w:hAnsi="Arial" w:cs="Arial"/>
        </w:rPr>
      </w:pPr>
      <w:r w:rsidRPr="00180C75">
        <w:rPr>
          <w:rFonts w:ascii="Arial" w:hAnsi="Arial" w:cs="Arial"/>
        </w:rPr>
        <w:t xml:space="preserve">Após a análise do projeto apresentado, a EPE encaminhou ao MME o Ofício nº 0961/2012, de 10 de outubro de 2012, </w:t>
      </w:r>
      <w:r w:rsidR="00ED70A3" w:rsidRPr="00180C75">
        <w:rPr>
          <w:rFonts w:ascii="Arial" w:hAnsi="Arial" w:cs="Arial"/>
        </w:rPr>
        <w:t>solicitando informações suplementares às contidas nas Cartas da Copel DRPC-GeT-C/066/2012, de 24 de maio de 2012 e DRPC-C/1157/2012/DGT, de 22 de agosto de 2012.</w:t>
      </w:r>
    </w:p>
    <w:p w:rsidR="00180C75" w:rsidRDefault="00180C75" w:rsidP="009E1FE9">
      <w:pPr>
        <w:pStyle w:val="CorpodoTexto"/>
        <w:spacing w:before="160" w:after="160"/>
        <w:rPr>
          <w:rFonts w:ascii="Arial" w:hAnsi="Arial" w:cs="Arial"/>
        </w:rPr>
      </w:pPr>
      <w:r>
        <w:rPr>
          <w:rFonts w:ascii="Arial" w:hAnsi="Arial" w:cs="Arial"/>
        </w:rPr>
        <w:t xml:space="preserve">A Copel encaminhou as informações solicitadas pela EPE ao MME por meio da Carta </w:t>
      </w:r>
      <w:r>
        <w:rPr>
          <w:rFonts w:ascii="Arial" w:hAnsi="Arial" w:cs="Arial"/>
        </w:rPr>
        <w:br/>
        <w:t xml:space="preserve">CRP-C/002/2013, de 31 de janeiro de 2013, respondendo ao Ofício MME </w:t>
      </w:r>
      <w:r>
        <w:rPr>
          <w:rFonts w:ascii="Arial" w:hAnsi="Arial" w:cs="Arial"/>
        </w:rPr>
        <w:br/>
        <w:t>nº 189/2012-DPE/SPE-MME.</w:t>
      </w:r>
    </w:p>
    <w:p w:rsidR="00180C75" w:rsidRDefault="00722820" w:rsidP="009E1FE9">
      <w:pPr>
        <w:pStyle w:val="CorpodoTexto"/>
        <w:spacing w:before="160" w:after="160"/>
        <w:rPr>
          <w:rFonts w:ascii="Arial" w:hAnsi="Arial" w:cs="Arial"/>
        </w:rPr>
      </w:pPr>
      <w:r>
        <w:rPr>
          <w:rFonts w:ascii="Arial" w:hAnsi="Arial" w:cs="Arial"/>
        </w:rPr>
        <w:t xml:space="preserve">O MME enviou à EPE o Ofício nº 040/2013-DPE/SPE-MME, de 14 de fevereiro de 2013 </w:t>
      </w:r>
      <w:r>
        <w:rPr>
          <w:rFonts w:ascii="Arial" w:hAnsi="Arial" w:cs="Arial"/>
        </w:rPr>
        <w:lastRenderedPageBreak/>
        <w:t>encaminhando a Carta da Copel CRP-C/002/2013, de 31 de janeiro de 2013.</w:t>
      </w:r>
    </w:p>
    <w:p w:rsidR="00722820" w:rsidRDefault="00722820" w:rsidP="009E1FE9">
      <w:pPr>
        <w:pStyle w:val="CorpodoTexto"/>
        <w:spacing w:before="160" w:after="160"/>
        <w:rPr>
          <w:rFonts w:ascii="Arial" w:hAnsi="Arial" w:cs="Arial"/>
        </w:rPr>
      </w:pPr>
      <w:r>
        <w:rPr>
          <w:rFonts w:ascii="Arial" w:hAnsi="Arial" w:cs="Arial"/>
        </w:rPr>
        <w:t xml:space="preserve">Como resultado da análise das informações contidas na Carta da Copel CRP-C/002/2013, a EPE solicitou diretamente ao empreendedor esclarecimentos </w:t>
      </w:r>
      <w:r w:rsidR="00B40DE6">
        <w:rPr>
          <w:rFonts w:ascii="Arial" w:hAnsi="Arial" w:cs="Arial"/>
        </w:rPr>
        <w:t>necessários</w:t>
      </w:r>
      <w:r>
        <w:rPr>
          <w:rFonts w:ascii="Arial" w:hAnsi="Arial" w:cs="Arial"/>
        </w:rPr>
        <w:t xml:space="preserve"> em </w:t>
      </w:r>
      <w:r w:rsidR="00B83246" w:rsidRPr="00B83246">
        <w:rPr>
          <w:rFonts w:ascii="Arial" w:hAnsi="Arial" w:cs="Arial"/>
          <w:i/>
        </w:rPr>
        <w:t>e-mail</w:t>
      </w:r>
      <w:r>
        <w:rPr>
          <w:rFonts w:ascii="Arial" w:hAnsi="Arial" w:cs="Arial"/>
        </w:rPr>
        <w:t xml:space="preserve"> datado de 13 de março de 2013.</w:t>
      </w:r>
    </w:p>
    <w:p w:rsidR="00B40DE6" w:rsidRDefault="00B40DE6" w:rsidP="009E1FE9">
      <w:pPr>
        <w:pStyle w:val="CorpodoTexto"/>
        <w:spacing w:before="160" w:after="160"/>
        <w:rPr>
          <w:rFonts w:ascii="Arial" w:hAnsi="Arial" w:cs="Arial"/>
        </w:rPr>
      </w:pPr>
      <w:r>
        <w:rPr>
          <w:rFonts w:ascii="Arial" w:hAnsi="Arial" w:cs="Arial"/>
        </w:rPr>
        <w:t xml:space="preserve">Em resposta a esse </w:t>
      </w:r>
      <w:r w:rsidR="00B83246" w:rsidRPr="00B83246">
        <w:rPr>
          <w:rFonts w:ascii="Arial" w:hAnsi="Arial" w:cs="Arial"/>
          <w:i/>
        </w:rPr>
        <w:t>e-mail</w:t>
      </w:r>
      <w:r>
        <w:rPr>
          <w:rFonts w:ascii="Arial" w:hAnsi="Arial" w:cs="Arial"/>
        </w:rPr>
        <w:t>, a Copel encaminhou à EPE a Carta CRP-C/007/2013, de 8 de abril de 2013, esclarecendo as informações solicitadas.</w:t>
      </w:r>
    </w:p>
    <w:p w:rsidR="00B40DE6" w:rsidRDefault="00B40DE6" w:rsidP="009E1FE9">
      <w:pPr>
        <w:pStyle w:val="CorpodoTexto"/>
        <w:spacing w:before="160" w:after="160"/>
        <w:rPr>
          <w:rFonts w:ascii="Arial" w:hAnsi="Arial" w:cs="Arial"/>
        </w:rPr>
      </w:pPr>
      <w:r>
        <w:rPr>
          <w:rFonts w:ascii="Arial" w:hAnsi="Arial" w:cs="Arial"/>
        </w:rPr>
        <w:t xml:space="preserve">Em 11 de abril de 2013, foi encaminhado pela EPE </w:t>
      </w:r>
      <w:r w:rsidR="00B7647E" w:rsidRPr="00813EB9">
        <w:rPr>
          <w:rFonts w:ascii="Arial" w:hAnsi="Arial" w:cs="Arial"/>
          <w:i/>
        </w:rPr>
        <w:t>e-mail</w:t>
      </w:r>
      <w:r>
        <w:rPr>
          <w:rFonts w:ascii="Arial" w:hAnsi="Arial" w:cs="Arial"/>
        </w:rPr>
        <w:t xml:space="preserve"> ao empreendedor solicitando a retificação </w:t>
      </w:r>
      <w:r w:rsidR="00CF3799">
        <w:rPr>
          <w:rFonts w:ascii="Arial" w:hAnsi="Arial" w:cs="Arial"/>
        </w:rPr>
        <w:t xml:space="preserve">de informações </w:t>
      </w:r>
      <w:r>
        <w:rPr>
          <w:rFonts w:ascii="Arial" w:hAnsi="Arial" w:cs="Arial"/>
        </w:rPr>
        <w:t xml:space="preserve">do balanço térmico apresentado. Este </w:t>
      </w:r>
      <w:r w:rsidR="00B7647E" w:rsidRPr="00813EB9">
        <w:rPr>
          <w:rFonts w:ascii="Arial" w:hAnsi="Arial" w:cs="Arial"/>
          <w:i/>
        </w:rPr>
        <w:t>e-mail</w:t>
      </w:r>
      <w:r>
        <w:rPr>
          <w:rFonts w:ascii="Arial" w:hAnsi="Arial" w:cs="Arial"/>
        </w:rPr>
        <w:t xml:space="preserve"> foi respondido pela Copel em 14 de abril de 2013</w:t>
      </w:r>
      <w:r w:rsidR="00CF3799">
        <w:rPr>
          <w:rFonts w:ascii="Arial" w:hAnsi="Arial" w:cs="Arial"/>
        </w:rPr>
        <w:t>, com a devida adequação da informação declarada.</w:t>
      </w:r>
    </w:p>
    <w:p w:rsidR="00CF3799" w:rsidRDefault="00CF3799" w:rsidP="00CF3799">
      <w:pPr>
        <w:pStyle w:val="CorpodoTexto"/>
        <w:spacing w:before="160" w:after="160"/>
        <w:rPr>
          <w:rFonts w:ascii="Arial" w:hAnsi="Arial" w:cs="Arial"/>
        </w:rPr>
      </w:pPr>
      <w:r w:rsidRPr="00CF3799">
        <w:rPr>
          <w:rFonts w:ascii="Arial" w:hAnsi="Arial" w:cs="Arial"/>
        </w:rPr>
        <w:t>A Portaria MME n° 279 de 22 de agosto de 2013, estabeleceu os critérios,</w:t>
      </w:r>
      <w:r>
        <w:rPr>
          <w:rFonts w:ascii="Arial" w:hAnsi="Arial" w:cs="Arial"/>
        </w:rPr>
        <w:t xml:space="preserve"> </w:t>
      </w:r>
      <w:r w:rsidRPr="00CF3799">
        <w:rPr>
          <w:rFonts w:ascii="Arial" w:hAnsi="Arial" w:cs="Arial"/>
        </w:rPr>
        <w:t>procedimentos e diretrizes para a revisão da garantia física de energia de usinas termelétricas que</w:t>
      </w:r>
      <w:r>
        <w:rPr>
          <w:rFonts w:ascii="Arial" w:hAnsi="Arial" w:cs="Arial"/>
        </w:rPr>
        <w:t xml:space="preserve"> </w:t>
      </w:r>
      <w:r w:rsidRPr="00CF3799">
        <w:rPr>
          <w:rFonts w:ascii="Arial" w:hAnsi="Arial" w:cs="Arial"/>
        </w:rPr>
        <w:t>utiliz</w:t>
      </w:r>
      <w:r w:rsidR="001B2275">
        <w:rPr>
          <w:rFonts w:ascii="Arial" w:hAnsi="Arial" w:cs="Arial"/>
        </w:rPr>
        <w:t>e</w:t>
      </w:r>
      <w:r w:rsidRPr="00CF3799">
        <w:rPr>
          <w:rFonts w:ascii="Arial" w:hAnsi="Arial" w:cs="Arial"/>
        </w:rPr>
        <w:t>m carvão mineral nacional, que sejam beneficiárias da Conta de Desenvolvimento</w:t>
      </w:r>
      <w:r>
        <w:rPr>
          <w:rFonts w:ascii="Arial" w:hAnsi="Arial" w:cs="Arial"/>
        </w:rPr>
        <w:t xml:space="preserve"> </w:t>
      </w:r>
      <w:r w:rsidRPr="00CF3799">
        <w:rPr>
          <w:rFonts w:ascii="Arial" w:hAnsi="Arial" w:cs="Arial"/>
        </w:rPr>
        <w:t xml:space="preserve">Energético </w:t>
      </w:r>
      <w:r>
        <w:rPr>
          <w:rFonts w:ascii="Arial" w:hAnsi="Arial" w:cs="Arial"/>
        </w:rPr>
        <w:t>-</w:t>
      </w:r>
      <w:r w:rsidRPr="00CF3799">
        <w:rPr>
          <w:rFonts w:ascii="Arial" w:hAnsi="Arial" w:cs="Arial"/>
        </w:rPr>
        <w:t xml:space="preserve"> CDE e que estejam submetidas a processo de modernização.</w:t>
      </w:r>
    </w:p>
    <w:p w:rsidR="00CF3799" w:rsidRDefault="00CF3799" w:rsidP="00CF3799">
      <w:pPr>
        <w:pStyle w:val="CorpodoTexto"/>
        <w:spacing w:before="160" w:after="160"/>
        <w:rPr>
          <w:rFonts w:ascii="Arial" w:hAnsi="Arial" w:cs="Arial"/>
        </w:rPr>
      </w:pPr>
      <w:r w:rsidRPr="00CF3799">
        <w:rPr>
          <w:rFonts w:ascii="Arial" w:hAnsi="Arial" w:cs="Arial"/>
        </w:rPr>
        <w:t>Conforme procedimento definido no art. 3° da supramencionada Portaria, a</w:t>
      </w:r>
      <w:r>
        <w:rPr>
          <w:rFonts w:ascii="Arial" w:hAnsi="Arial" w:cs="Arial"/>
        </w:rPr>
        <w:t xml:space="preserve"> </w:t>
      </w:r>
      <w:r w:rsidRPr="00CF3799">
        <w:rPr>
          <w:rFonts w:ascii="Arial" w:hAnsi="Arial" w:cs="Arial"/>
        </w:rPr>
        <w:t>revisão de garantia física deverá ser precedida da aprovação do projeto de modernização pela</w:t>
      </w:r>
      <w:r>
        <w:rPr>
          <w:rFonts w:ascii="Arial" w:hAnsi="Arial" w:cs="Arial"/>
        </w:rPr>
        <w:t xml:space="preserve"> </w:t>
      </w:r>
      <w:r w:rsidRPr="00CF3799">
        <w:rPr>
          <w:rFonts w:ascii="Arial" w:hAnsi="Arial" w:cs="Arial"/>
        </w:rPr>
        <w:t>ANEEL. Além disso</w:t>
      </w:r>
      <w:r w:rsidR="00B7647E">
        <w:rPr>
          <w:rFonts w:ascii="Arial" w:hAnsi="Arial" w:cs="Arial"/>
        </w:rPr>
        <w:t>,</w:t>
      </w:r>
      <w:r w:rsidRPr="00CF3799">
        <w:rPr>
          <w:rFonts w:ascii="Arial" w:hAnsi="Arial" w:cs="Arial"/>
        </w:rPr>
        <w:t xml:space="preserve"> o § 2°, deste mesmo art. 3° </w:t>
      </w:r>
      <w:r w:rsidR="00B7647E">
        <w:rPr>
          <w:rFonts w:ascii="Arial" w:hAnsi="Arial" w:cs="Arial"/>
        </w:rPr>
        <w:t>d</w:t>
      </w:r>
      <w:r w:rsidRPr="00CF3799">
        <w:rPr>
          <w:rFonts w:ascii="Arial" w:hAnsi="Arial" w:cs="Arial"/>
        </w:rPr>
        <w:t>efine</w:t>
      </w:r>
      <w:r>
        <w:rPr>
          <w:rFonts w:ascii="Arial" w:hAnsi="Arial" w:cs="Arial"/>
        </w:rPr>
        <w:t xml:space="preserve"> </w:t>
      </w:r>
      <w:r w:rsidRPr="00CF3799">
        <w:rPr>
          <w:rFonts w:ascii="Arial" w:hAnsi="Arial" w:cs="Arial"/>
        </w:rPr>
        <w:t>que o ato de aprovação, emitido pela ANEEL, deverá conter os parâmetros homologados do</w:t>
      </w:r>
      <w:r>
        <w:rPr>
          <w:rFonts w:ascii="Arial" w:hAnsi="Arial" w:cs="Arial"/>
        </w:rPr>
        <w:t xml:space="preserve"> </w:t>
      </w:r>
      <w:r w:rsidRPr="00CF3799">
        <w:rPr>
          <w:rFonts w:ascii="Arial" w:hAnsi="Arial" w:cs="Arial"/>
        </w:rPr>
        <w:t>projeto de modernização necessários à revisão da garantia física.</w:t>
      </w:r>
    </w:p>
    <w:p w:rsidR="00CF3799" w:rsidRDefault="00CF3799" w:rsidP="00CF3799">
      <w:pPr>
        <w:pStyle w:val="CorpodoTexto"/>
        <w:spacing w:before="160" w:after="160"/>
        <w:rPr>
          <w:rFonts w:ascii="Arial" w:hAnsi="Arial" w:cs="Arial"/>
        </w:rPr>
      </w:pPr>
      <w:r>
        <w:rPr>
          <w:rFonts w:ascii="Arial" w:hAnsi="Arial" w:cs="Arial"/>
        </w:rPr>
        <w:t xml:space="preserve">Como o ato de aprovação representado pela Resolução Autorizativa ANEEL nº 3.030/2011 não contém todas as características técnicas necessárias para fins de revisão de garantia física, o MME solicitou à ANEEL essas informações por meio do Ofício nº 149/2013-DPE/SPE-MME, de </w:t>
      </w:r>
      <w:r w:rsidR="00B7647E">
        <w:rPr>
          <w:rFonts w:ascii="Arial" w:hAnsi="Arial" w:cs="Arial"/>
        </w:rPr>
        <w:t>0</w:t>
      </w:r>
      <w:r>
        <w:rPr>
          <w:rFonts w:ascii="Arial" w:hAnsi="Arial" w:cs="Arial"/>
        </w:rPr>
        <w:t>2 de setembro de 2013.</w:t>
      </w:r>
    </w:p>
    <w:p w:rsidR="00CF3799" w:rsidRDefault="00890DA2" w:rsidP="00CF3799">
      <w:pPr>
        <w:pStyle w:val="CorpodoTexto"/>
        <w:spacing w:before="160" w:after="160"/>
        <w:rPr>
          <w:rFonts w:ascii="Arial" w:hAnsi="Arial" w:cs="Arial"/>
        </w:rPr>
      </w:pPr>
      <w:r>
        <w:rPr>
          <w:rFonts w:ascii="Arial" w:hAnsi="Arial" w:cs="Arial"/>
        </w:rPr>
        <w:t>Em respota à solicitação realizada, a ANEEL encaminhou ao MME o Ofício nº247, de 14 de outubro de 2013, contendo as informações necessárias, correspondentes ao projeto de modernização da UTE Figueira, para a revisão da garantia física de energia desta usina.</w:t>
      </w:r>
    </w:p>
    <w:p w:rsidR="00890DA2" w:rsidRDefault="00890DA2" w:rsidP="00CF3799">
      <w:pPr>
        <w:pStyle w:val="CorpodoTexto"/>
        <w:spacing w:before="160" w:after="160"/>
        <w:rPr>
          <w:rFonts w:ascii="Arial" w:hAnsi="Arial" w:cs="Arial"/>
        </w:rPr>
      </w:pPr>
      <w:r>
        <w:rPr>
          <w:rFonts w:ascii="Arial" w:hAnsi="Arial" w:cs="Arial"/>
        </w:rPr>
        <w:t xml:space="preserve">O MME, por meio do Ofício nº 176/2013-DPE/SPE-MME, </w:t>
      </w:r>
      <w:r w:rsidR="00B7647E" w:rsidRPr="0049151C">
        <w:rPr>
          <w:rFonts w:ascii="Arial" w:hAnsi="Arial" w:cs="Arial"/>
        </w:rPr>
        <w:t xml:space="preserve">de </w:t>
      </w:r>
      <w:r w:rsidR="0049151C">
        <w:rPr>
          <w:rFonts w:ascii="Arial" w:hAnsi="Arial" w:cs="Arial"/>
        </w:rPr>
        <w:t xml:space="preserve">22 de outubro </w:t>
      </w:r>
      <w:bookmarkStart w:id="2" w:name="_GoBack"/>
      <w:bookmarkEnd w:id="2"/>
      <w:r w:rsidR="00B7647E" w:rsidRPr="0049151C">
        <w:rPr>
          <w:rFonts w:ascii="Arial" w:hAnsi="Arial" w:cs="Arial"/>
        </w:rPr>
        <w:t>de 2013</w:t>
      </w:r>
      <w:r w:rsidR="00B7647E">
        <w:rPr>
          <w:rFonts w:ascii="Arial" w:hAnsi="Arial" w:cs="Arial"/>
        </w:rPr>
        <w:t xml:space="preserve">, </w:t>
      </w:r>
      <w:r>
        <w:rPr>
          <w:rFonts w:ascii="Arial" w:hAnsi="Arial" w:cs="Arial"/>
        </w:rPr>
        <w:t>solicitou à EPE a revisão da garantia física de energia da UTE Figueira, em função da implantação do projeto de modernização da usina, em consonância com o estabelecido na Portaria MME nº 279/2013.</w:t>
      </w:r>
    </w:p>
    <w:p w:rsidR="002A7822" w:rsidRPr="00890DA2" w:rsidRDefault="002A7822">
      <w:pPr>
        <w:rPr>
          <w:rFonts w:ascii="Tahoma" w:hAnsi="Tahoma" w:cs="Tahoma"/>
          <w:b/>
          <w:sz w:val="26"/>
          <w:szCs w:val="26"/>
        </w:rPr>
      </w:pPr>
      <w:bookmarkStart w:id="3" w:name="_Toc195413698"/>
      <w:r w:rsidRPr="00890DA2">
        <w:rPr>
          <w:rFonts w:ascii="Tahoma" w:hAnsi="Tahoma" w:cs="Tahoma"/>
          <w:b/>
          <w:sz w:val="26"/>
          <w:szCs w:val="26"/>
        </w:rPr>
        <w:br w:type="page"/>
      </w:r>
    </w:p>
    <w:p w:rsidR="008B7BF5" w:rsidRPr="002C263F" w:rsidRDefault="00CF3799" w:rsidP="009563F8">
      <w:pPr>
        <w:pStyle w:val="EstiloTtulo1"/>
        <w:numPr>
          <w:ilvl w:val="0"/>
          <w:numId w:val="0"/>
        </w:numPr>
        <w:spacing w:before="1000" w:after="200"/>
        <w:ind w:left="364" w:hanging="369"/>
        <w:outlineLvl w:val="0"/>
        <w:rPr>
          <w:rFonts w:ascii="Tahoma" w:hAnsi="Tahoma" w:cs="Tahoma"/>
          <w:b/>
          <w:sz w:val="26"/>
          <w:szCs w:val="26"/>
        </w:rPr>
      </w:pPr>
      <w:bookmarkStart w:id="4" w:name="_Toc121918953"/>
      <w:bookmarkStart w:id="5" w:name="_Toc122411820"/>
      <w:bookmarkStart w:id="6" w:name="_Toc171488146"/>
      <w:bookmarkStart w:id="7" w:name="_Toc372037083"/>
      <w:bookmarkEnd w:id="3"/>
      <w:r w:rsidRPr="002C263F">
        <w:rPr>
          <w:rFonts w:ascii="Tahoma" w:hAnsi="Tahoma" w:cs="Tahoma"/>
          <w:b/>
          <w:sz w:val="26"/>
          <w:szCs w:val="26"/>
        </w:rPr>
        <w:lastRenderedPageBreak/>
        <w:t>2</w:t>
      </w:r>
      <w:r w:rsidR="008B7BF5" w:rsidRPr="002C263F">
        <w:rPr>
          <w:rFonts w:ascii="Tahoma" w:hAnsi="Tahoma" w:cs="Tahoma"/>
          <w:b/>
          <w:sz w:val="26"/>
          <w:szCs w:val="26"/>
        </w:rPr>
        <w:t xml:space="preserve">. </w:t>
      </w:r>
      <w:r w:rsidR="002C263F" w:rsidRPr="002C263F">
        <w:rPr>
          <w:rFonts w:ascii="Tahoma" w:hAnsi="Tahoma" w:cs="Tahoma"/>
          <w:b/>
          <w:sz w:val="26"/>
          <w:szCs w:val="26"/>
        </w:rPr>
        <w:t xml:space="preserve">Revisão de </w:t>
      </w:r>
      <w:r w:rsidR="00466A93" w:rsidRPr="002C263F">
        <w:rPr>
          <w:rFonts w:ascii="Tahoma" w:hAnsi="Tahoma" w:cs="Tahoma"/>
          <w:b/>
          <w:sz w:val="26"/>
          <w:szCs w:val="26"/>
        </w:rPr>
        <w:t>Garantia</w:t>
      </w:r>
      <w:r w:rsidR="00B547BC" w:rsidRPr="002C263F">
        <w:rPr>
          <w:rFonts w:ascii="Tahoma" w:hAnsi="Tahoma" w:cs="Tahoma"/>
          <w:b/>
          <w:sz w:val="26"/>
          <w:szCs w:val="26"/>
        </w:rPr>
        <w:t xml:space="preserve"> Física</w:t>
      </w:r>
      <w:r w:rsidR="00466A93" w:rsidRPr="002C263F">
        <w:rPr>
          <w:rFonts w:ascii="Tahoma" w:hAnsi="Tahoma" w:cs="Tahoma"/>
          <w:b/>
          <w:sz w:val="26"/>
          <w:szCs w:val="26"/>
        </w:rPr>
        <w:t xml:space="preserve"> d</w:t>
      </w:r>
      <w:r w:rsidR="00F460B5" w:rsidRPr="002C263F">
        <w:rPr>
          <w:rFonts w:ascii="Tahoma" w:hAnsi="Tahoma" w:cs="Tahoma"/>
          <w:b/>
          <w:sz w:val="26"/>
          <w:szCs w:val="26"/>
        </w:rPr>
        <w:t>as Usinas</w:t>
      </w:r>
      <w:r w:rsidR="00B547BC" w:rsidRPr="002C263F">
        <w:rPr>
          <w:rFonts w:ascii="Tahoma" w:hAnsi="Tahoma" w:cs="Tahoma"/>
          <w:b/>
          <w:sz w:val="26"/>
          <w:szCs w:val="26"/>
        </w:rPr>
        <w:t xml:space="preserve"> </w:t>
      </w:r>
      <w:r w:rsidR="002C263F" w:rsidRPr="002C263F">
        <w:rPr>
          <w:rFonts w:ascii="Tahoma" w:hAnsi="Tahoma" w:cs="Tahoma"/>
          <w:b/>
          <w:sz w:val="26"/>
          <w:szCs w:val="26"/>
        </w:rPr>
        <w:t>Termelétricas a Carvão Mineral Nacional, Beneficiárias da CDE, e Submetidas a Processo de Modernização</w:t>
      </w:r>
      <w:bookmarkEnd w:id="4"/>
      <w:bookmarkEnd w:id="5"/>
      <w:bookmarkEnd w:id="6"/>
      <w:bookmarkEnd w:id="7"/>
    </w:p>
    <w:p w:rsidR="001B2E40" w:rsidRPr="002C263F" w:rsidRDefault="00CF3799" w:rsidP="009563F8">
      <w:pPr>
        <w:pStyle w:val="EstiloTtulo1"/>
        <w:numPr>
          <w:ilvl w:val="0"/>
          <w:numId w:val="0"/>
        </w:numPr>
        <w:spacing w:before="400" w:after="200"/>
        <w:ind w:left="567" w:hanging="567"/>
        <w:outlineLvl w:val="0"/>
        <w:rPr>
          <w:rFonts w:ascii="Tahoma" w:hAnsi="Tahoma" w:cs="Tahoma"/>
          <w:b/>
          <w:sz w:val="26"/>
          <w:szCs w:val="26"/>
        </w:rPr>
      </w:pPr>
      <w:bookmarkStart w:id="8" w:name="_Toc372037084"/>
      <w:r w:rsidRPr="002C263F">
        <w:rPr>
          <w:rFonts w:ascii="Tahoma" w:hAnsi="Tahoma" w:cs="Tahoma"/>
          <w:b/>
          <w:sz w:val="26"/>
          <w:szCs w:val="26"/>
        </w:rPr>
        <w:t>2</w:t>
      </w:r>
      <w:r w:rsidR="001B2E40" w:rsidRPr="002C263F">
        <w:rPr>
          <w:rFonts w:ascii="Tahoma" w:hAnsi="Tahoma" w:cs="Tahoma"/>
          <w:b/>
          <w:sz w:val="26"/>
          <w:szCs w:val="26"/>
        </w:rPr>
        <w:t>.1. Metodologia de Cálculo</w:t>
      </w:r>
      <w:bookmarkEnd w:id="8"/>
    </w:p>
    <w:p w:rsidR="00466A93" w:rsidRPr="002C263F" w:rsidRDefault="00466A93" w:rsidP="00466A93">
      <w:pPr>
        <w:pStyle w:val="CorpodoTexto"/>
      </w:pPr>
      <w:r w:rsidRPr="002C263F">
        <w:t xml:space="preserve">A garantia física do Sistema Interligado Nacional – SIN pode ser definida </w:t>
      </w:r>
      <w:r w:rsidR="00B7647E">
        <w:t>a</w:t>
      </w:r>
      <w:r w:rsidRPr="002C263F">
        <w:t xml:space="preserve"> máxima </w:t>
      </w:r>
      <w:r w:rsidR="00B7647E">
        <w:t xml:space="preserve">quantidade de </w:t>
      </w:r>
      <w:r w:rsidRPr="002C263F">
        <w:t xml:space="preserve">energia que este sistema pode suprir a um dado critério de garantia de suprimento. Esta </w:t>
      </w:r>
      <w:r w:rsidR="00625D39">
        <w:t xml:space="preserve">quantidade de </w:t>
      </w:r>
      <w:r w:rsidRPr="002C263F">
        <w:t>energia pode, então, ser rateada entre todos os empreendimentos de geração que constituem o sistema</w:t>
      </w:r>
      <w:r w:rsidR="00625D39">
        <w:t xml:space="preserve"> O valor assim atribuído pelo rateio a cada empreendimento constitui-se em sua garantia física, que é o</w:t>
      </w:r>
      <w:r w:rsidRPr="002C263F">
        <w:t xml:space="preserve"> </w:t>
      </w:r>
      <w:proofErr w:type="spellStart"/>
      <w:r w:rsidRPr="002C263F">
        <w:t>o</w:t>
      </w:r>
      <w:proofErr w:type="spellEnd"/>
      <w:r w:rsidRPr="002C263F">
        <w:t xml:space="preserve"> lastro físico daqueles empreendimentos com vistas à comercialização de energia via contratos.</w:t>
      </w:r>
    </w:p>
    <w:p w:rsidR="002C263F" w:rsidRDefault="002C263F" w:rsidP="00466A93">
      <w:pPr>
        <w:pStyle w:val="CorpodoTexto"/>
      </w:pPr>
      <w:r w:rsidRPr="002C263F">
        <w:t xml:space="preserve">As usinas a carvão mineral nacional, que sejam beneficiárias da Conta de Desenvolvimento Energético – CDE e que estejam subtemidas a processo de modernização, têm o processo de revisão garantia física estabelecido </w:t>
      </w:r>
      <w:r>
        <w:t>pela</w:t>
      </w:r>
      <w:r w:rsidRPr="002C263F">
        <w:t xml:space="preserve"> Portaria MME nº 279, de 22 de agosto de 2013.</w:t>
      </w:r>
    </w:p>
    <w:p w:rsidR="002C263F" w:rsidRPr="002C263F" w:rsidRDefault="002C263F" w:rsidP="00466A93">
      <w:pPr>
        <w:pStyle w:val="CorpodoTexto"/>
      </w:pPr>
      <w:r>
        <w:t xml:space="preserve">Conforme o Art. 7º da referida portaria, o cálculo do montante revisado de garantia física </w:t>
      </w:r>
      <w:r w:rsidRPr="002C263F">
        <w:t>de energia do empreendimento será realizado pela Empresa de Pesquisa Energética - EPE, conforme metodologia estabelecida na Portaria MME nº 258, de 28 de julho de 2008.</w:t>
      </w:r>
    </w:p>
    <w:p w:rsidR="00466A93" w:rsidRPr="00066F5F" w:rsidRDefault="00466A93" w:rsidP="00466A93">
      <w:pPr>
        <w:pStyle w:val="CorpodoTexto"/>
      </w:pPr>
      <w:r w:rsidRPr="00066F5F">
        <w:t xml:space="preserve">Resumidamente, a metodologia de cálculo da garantia física </w:t>
      </w:r>
      <w:r w:rsidR="00066F5F" w:rsidRPr="00066F5F">
        <w:t xml:space="preserve">definida na Portaria MME </w:t>
      </w:r>
      <w:r w:rsidR="00066F5F" w:rsidRPr="00066F5F">
        <w:br/>
        <w:t>nº 258/2008</w:t>
      </w:r>
      <w:r w:rsidRPr="00066F5F">
        <w:t>, consiste nos passos a seguir descritos:</w:t>
      </w:r>
    </w:p>
    <w:p w:rsidR="00B412E2" w:rsidRPr="00066F5F" w:rsidRDefault="00B412E2" w:rsidP="00B412E2">
      <w:pPr>
        <w:pStyle w:val="CorpodoTexto"/>
      </w:pPr>
      <w:r w:rsidRPr="00066F5F">
        <w:t xml:space="preserve">1) Determinação da </w:t>
      </w:r>
      <w:r w:rsidRPr="00066F5F">
        <w:rPr>
          <w:i/>
        </w:rPr>
        <w:t>oferta total de garantia física</w:t>
      </w:r>
      <w:r w:rsidRPr="00066F5F">
        <w:t xml:space="preserve">, correspondente à </w:t>
      </w:r>
      <w:r w:rsidRPr="00066F5F">
        <w:rPr>
          <w:i/>
        </w:rPr>
        <w:t>garantia física do Sistema Interligado</w:t>
      </w:r>
      <w:r w:rsidRPr="00066F5F">
        <w:t xml:space="preserve"> (Norte/Man/Mac/Belo Monte, Nordeste, Sudeste/Centro-Oeste e Sul), obtida por simulação estática da operação do sistema hidrotérmico, empregando-se o modelo NEWAVE, em sua versão 1</w:t>
      </w:r>
      <w:r w:rsidR="0094374D" w:rsidRPr="00066F5F">
        <w:t>8</w:t>
      </w:r>
      <w:r w:rsidRPr="00066F5F">
        <w:t>. No processo iterativo de ajuste da oferta total, mantém-se uma proporção fixa entre as ofertas dos subsistemas Sul e Sudeste/C. Oeste, assim como as dos subsistemas Norte/Man/Mac/Belo Monte e Nordeste, havendo, no entanto, uma variação livre da oferta conjunta e da proporção relativa entre estes dois grandes sistemas regionais. O processo é considerado convergido quando, no mínimo, um subsistema de cada sistema regional atende o critério de igualdade entre o CMO e o CME, admitindo-se uma tolerância. Neste processo, nenhum subsistema poderá estar com riscos de déficit superiores ao risco de déficit estabelecido na Resolução CNPE nº1/2004, bem como os CMO de cada subsistema também devem ser inferiores ou iguais ao CME.</w:t>
      </w:r>
    </w:p>
    <w:p w:rsidR="00B412E2" w:rsidRPr="00066F5F" w:rsidRDefault="00B412E2" w:rsidP="00B412E2">
      <w:pPr>
        <w:pStyle w:val="CorpodoTexto"/>
      </w:pPr>
      <w:r w:rsidRPr="00066F5F">
        <w:t xml:space="preserve">2) Rateio da garantia física do SIN, ou oferta total (igual ao somatório das cargas críticas resultantes para os quatro subsistemas), em dois grandes blocos de energia, </w:t>
      </w:r>
      <w:r w:rsidRPr="00066F5F">
        <w:rPr>
          <w:i/>
        </w:rPr>
        <w:t>oferta hidráulica</w:t>
      </w:r>
      <w:r w:rsidRPr="00066F5F">
        <w:t xml:space="preserve"> – EH e </w:t>
      </w:r>
      <w:r w:rsidRPr="00066F5F">
        <w:rPr>
          <w:i/>
        </w:rPr>
        <w:t>oferta térmica</w:t>
      </w:r>
      <w:r w:rsidRPr="00066F5F">
        <w:t xml:space="preserve"> – ET, que são obtidos multiplicando-se a oferta total por um Fator Hidro – FH e um Fator Térmico – FT. Estes fatores correspondem à participação </w:t>
      </w:r>
      <w:r w:rsidRPr="00066F5F">
        <w:lastRenderedPageBreak/>
        <w:t xml:space="preserve">relativa das gerações hidráulica e térmica na geração total. Tais fatores são calculados com base em uma ponderação pelo </w:t>
      </w:r>
      <w:r w:rsidRPr="00066F5F">
        <w:rPr>
          <w:i/>
        </w:rPr>
        <w:t>custo marginal de operação</w:t>
      </w:r>
      <w:r w:rsidRPr="00066F5F">
        <w:t xml:space="preserve"> – CMO das gerações hidráulicas – GH e térmicas – GT, que são obtidas na simulação com o modelo NEWAVE, utilizando-se configuração estática, horizonte de 5 anos e 2000 séries sintéticas de energias afluentes.</w:t>
      </w:r>
    </w:p>
    <w:p w:rsidR="00B412E2" w:rsidRPr="00066F5F" w:rsidRDefault="00B412E2" w:rsidP="00B412E2">
      <w:pPr>
        <w:pStyle w:val="CorpodoTexto"/>
      </w:pPr>
      <w:r w:rsidRPr="00066F5F">
        <w:t>3) Rateio da oferta hidráulica do conjunto das usinas hidrelétricas da configuração, ou oferta hidráulica – EH, proporcional às energias firmes das usinas hidráulicas, obtidas com auxílio do modelo MSUI, por simulação a usinas individualizadas do sistema integrado puramente hidrelétrico. Utilizam-se, para tanto, séries de vazões históricas e toma-se como referência o período crítico do Sistema Interligado, sendo o resultado do rateio limitado ao valor da disponibilidade máxima de geração contínua da usina.</w:t>
      </w:r>
    </w:p>
    <w:p w:rsidR="00B412E2" w:rsidRPr="00066F5F" w:rsidRDefault="00B412E2" w:rsidP="00B412E2">
      <w:pPr>
        <w:pStyle w:val="CorpodoTexto"/>
      </w:pPr>
      <w:r w:rsidRPr="00066F5F">
        <w:t>4) Rateio da oferta térmica do conjunto das usinas termelétricas da configuração, por usina termelétrica, sendo o resultado do rateio limitado ao valor da disponibilidade máxima de geração contínua da usina, sendo este excedente distribuído entre as demais térmicas da configuração, na proporção de suas garantias físicas, calculadas no passo anterior. No caso de usinas termelétricas, esta garantia física está condicionada, ainda, à apresentação de contrato firme de suprimento de combustível</w:t>
      </w:r>
      <w:r w:rsidR="00420850" w:rsidRPr="00066F5F">
        <w:t>, objetivando</w:t>
      </w:r>
      <w:r w:rsidRPr="00066F5F">
        <w:t xml:space="preserve"> garantir efetivamente o </w:t>
      </w:r>
      <w:r w:rsidRPr="00066F5F">
        <w:rPr>
          <w:i/>
        </w:rPr>
        <w:t>lastro físico</w:t>
      </w:r>
      <w:r w:rsidRPr="00066F5F">
        <w:t xml:space="preserve"> dos empreendimentos de geração, com vistas à comercialização de energia via contratos.</w:t>
      </w:r>
      <w:r w:rsidR="00420850" w:rsidRPr="00066F5F">
        <w:t xml:space="preserve"> </w:t>
      </w:r>
    </w:p>
    <w:p w:rsidR="00B412E2" w:rsidRPr="00066F5F" w:rsidRDefault="00B412E2" w:rsidP="00B412E2">
      <w:pPr>
        <w:pStyle w:val="CorpodoTexto"/>
      </w:pPr>
      <w:r w:rsidRPr="00066F5F">
        <w:t>Cabe ressaltar que segundo previsto na Portaria MME Nº 258/2008, a garantia física é determinada na barra de saída do gerador, não sendo considerados nesses montantes os consumos internos das usinas termelétricas despachadas centralizadamente, nem as perdas elétricas (na rede básica e até o centro de gravidade do submercado no qual a usina esteja localizada).</w:t>
      </w:r>
    </w:p>
    <w:p w:rsidR="00B412E2" w:rsidRPr="00066F5F" w:rsidRDefault="00B412E2" w:rsidP="00B412E2">
      <w:pPr>
        <w:pStyle w:val="CorpodoTexto"/>
      </w:pPr>
    </w:p>
    <w:p w:rsidR="001B2E40" w:rsidRPr="00066F5F" w:rsidRDefault="00CF3799" w:rsidP="009563F8">
      <w:pPr>
        <w:pStyle w:val="EstiloTtulo1"/>
        <w:numPr>
          <w:ilvl w:val="0"/>
          <w:numId w:val="0"/>
        </w:numPr>
        <w:spacing w:before="400" w:after="200"/>
        <w:ind w:left="567" w:hanging="567"/>
        <w:outlineLvl w:val="0"/>
        <w:rPr>
          <w:rFonts w:ascii="Tahoma" w:hAnsi="Tahoma" w:cs="Tahoma"/>
          <w:b/>
          <w:sz w:val="26"/>
          <w:szCs w:val="26"/>
        </w:rPr>
      </w:pPr>
      <w:bookmarkStart w:id="9" w:name="_Toc372037085"/>
      <w:r w:rsidRPr="00066F5F">
        <w:rPr>
          <w:rFonts w:ascii="Tahoma" w:hAnsi="Tahoma" w:cs="Tahoma"/>
          <w:b/>
          <w:sz w:val="26"/>
          <w:szCs w:val="26"/>
        </w:rPr>
        <w:t>2</w:t>
      </w:r>
      <w:r w:rsidR="001B2E40" w:rsidRPr="00066F5F">
        <w:rPr>
          <w:rFonts w:ascii="Tahoma" w:hAnsi="Tahoma" w:cs="Tahoma"/>
          <w:b/>
          <w:sz w:val="26"/>
          <w:szCs w:val="26"/>
        </w:rPr>
        <w:t>.2. Critérios e Premissas</w:t>
      </w:r>
      <w:bookmarkEnd w:id="9"/>
    </w:p>
    <w:p w:rsidR="00466A93" w:rsidRPr="00066F5F" w:rsidRDefault="00466A93" w:rsidP="00466A93">
      <w:pPr>
        <w:pStyle w:val="CorpodoTexto"/>
      </w:pPr>
      <w:r w:rsidRPr="00066F5F">
        <w:t xml:space="preserve">Os itens a seguir apresentam o modelo, os critérios e as premissas considerados no Caso Base para </w:t>
      </w:r>
      <w:r w:rsidR="00066F5F" w:rsidRPr="00066F5F">
        <w:t xml:space="preserve">a revisão de garantia física da UTE </w:t>
      </w:r>
      <w:r w:rsidR="00066F5F">
        <w:t>em questão</w:t>
      </w:r>
      <w:r w:rsidRPr="00066F5F">
        <w:t>.</w:t>
      </w:r>
    </w:p>
    <w:p w:rsidR="00466A93" w:rsidRPr="00066F5F" w:rsidRDefault="00466A93" w:rsidP="00466A93">
      <w:pPr>
        <w:pStyle w:val="CorpodoTexto"/>
      </w:pPr>
      <w:r w:rsidRPr="00066F5F">
        <w:t>•</w:t>
      </w:r>
      <w:r w:rsidRPr="00066F5F">
        <w:tab/>
        <w:t>Modelo Utilizado:</w:t>
      </w:r>
    </w:p>
    <w:p w:rsidR="00466A93" w:rsidRPr="00066F5F" w:rsidRDefault="00466A93" w:rsidP="00466A93">
      <w:pPr>
        <w:pStyle w:val="CorpodoTexto"/>
        <w:numPr>
          <w:ilvl w:val="0"/>
          <w:numId w:val="4"/>
        </w:numPr>
        <w:spacing w:line="260" w:lineRule="exact"/>
        <w:ind w:left="1003" w:hanging="357"/>
      </w:pPr>
      <w:r w:rsidRPr="00066F5F">
        <w:t xml:space="preserve">NEWAVE - </w:t>
      </w:r>
      <w:r w:rsidR="00F4423E" w:rsidRPr="00066F5F">
        <w:t>Versão 1</w:t>
      </w:r>
      <w:r w:rsidR="00DE5B8E" w:rsidRPr="00066F5F">
        <w:t>8</w:t>
      </w:r>
    </w:p>
    <w:p w:rsidR="00466A93" w:rsidRPr="00066F5F" w:rsidRDefault="00466A93" w:rsidP="00466A93">
      <w:pPr>
        <w:pStyle w:val="CorpodoTexto"/>
      </w:pPr>
      <w:r w:rsidRPr="00066F5F">
        <w:t>•</w:t>
      </w:r>
      <w:r w:rsidRPr="00066F5F">
        <w:tab/>
        <w:t>Configuração hidrotérmica estática com 5 anos de simulação, 10 anos de período estático inicial e 5 anos de período estático final.</w:t>
      </w:r>
    </w:p>
    <w:p w:rsidR="00466A93" w:rsidRPr="00066F5F" w:rsidRDefault="00466A93" w:rsidP="00466A93">
      <w:pPr>
        <w:pStyle w:val="CorpodoTexto"/>
      </w:pPr>
      <w:r w:rsidRPr="00066F5F">
        <w:t>•</w:t>
      </w:r>
      <w:r w:rsidRPr="00066F5F">
        <w:tab/>
        <w:t>Parâmetros do NEWAVE:</w:t>
      </w:r>
    </w:p>
    <w:p w:rsidR="00466A93" w:rsidRPr="00066F5F" w:rsidRDefault="00466A93" w:rsidP="00466A93">
      <w:pPr>
        <w:pStyle w:val="CorpodoTexto"/>
        <w:numPr>
          <w:ilvl w:val="0"/>
          <w:numId w:val="5"/>
        </w:numPr>
        <w:spacing w:line="260" w:lineRule="exact"/>
        <w:ind w:left="1003" w:hanging="357"/>
      </w:pPr>
      <w:r w:rsidRPr="00066F5F">
        <w:lastRenderedPageBreak/>
        <w:t xml:space="preserve">Mínimo de 1 e máximo de 45 iterações, 200 simulações </w:t>
      </w:r>
      <w:r w:rsidRPr="00066F5F">
        <w:rPr>
          <w:i/>
        </w:rPr>
        <w:t>forward</w:t>
      </w:r>
      <w:r w:rsidRPr="00066F5F">
        <w:t xml:space="preserve"> e 20 aberturas</w:t>
      </w:r>
    </w:p>
    <w:p w:rsidR="00466A93" w:rsidRPr="00066F5F" w:rsidRDefault="00466A93" w:rsidP="00466A93">
      <w:pPr>
        <w:pStyle w:val="CorpodoTexto"/>
        <w:numPr>
          <w:ilvl w:val="0"/>
          <w:numId w:val="5"/>
        </w:numPr>
        <w:spacing w:line="260" w:lineRule="exact"/>
        <w:ind w:left="1003" w:hanging="357"/>
      </w:pPr>
      <w:r w:rsidRPr="00066F5F">
        <w:t>Curva de aversão a risco: não considerada;</w:t>
      </w:r>
    </w:p>
    <w:p w:rsidR="00466A93" w:rsidRPr="00066F5F" w:rsidRDefault="00466A93" w:rsidP="00466A93">
      <w:pPr>
        <w:pStyle w:val="CorpodoTexto"/>
        <w:numPr>
          <w:ilvl w:val="0"/>
          <w:numId w:val="5"/>
        </w:numPr>
        <w:spacing w:line="260" w:lineRule="exact"/>
        <w:ind w:left="1003" w:hanging="357"/>
      </w:pPr>
      <w:r w:rsidRPr="00066F5F">
        <w:t>Racionamento preventivo: considerado;</w:t>
      </w:r>
    </w:p>
    <w:p w:rsidR="00466A93" w:rsidRPr="00066F5F" w:rsidRDefault="00466A93" w:rsidP="00466A93">
      <w:pPr>
        <w:pStyle w:val="CorpodoTexto"/>
        <w:numPr>
          <w:ilvl w:val="0"/>
          <w:numId w:val="5"/>
        </w:numPr>
        <w:spacing w:line="260" w:lineRule="exact"/>
        <w:ind w:left="1003" w:hanging="357"/>
      </w:pPr>
      <w:r w:rsidRPr="00066F5F">
        <w:t>Tendência hidrológica: não considerada;</w:t>
      </w:r>
    </w:p>
    <w:p w:rsidR="00466A93" w:rsidRPr="00066F5F" w:rsidRDefault="00466A93" w:rsidP="00466A93">
      <w:pPr>
        <w:pStyle w:val="CorpodoTexto"/>
        <w:numPr>
          <w:ilvl w:val="0"/>
          <w:numId w:val="5"/>
        </w:numPr>
        <w:spacing w:line="260" w:lineRule="exact"/>
        <w:ind w:left="1003" w:hanging="357"/>
      </w:pPr>
      <w:r w:rsidRPr="00066F5F">
        <w:t>Acoplamento hidráulico entre os subsistemas: não considerado;</w:t>
      </w:r>
    </w:p>
    <w:p w:rsidR="00466A93" w:rsidRPr="00066F5F" w:rsidRDefault="00466A93" w:rsidP="00466A93">
      <w:pPr>
        <w:pStyle w:val="CorpodoTexto"/>
        <w:numPr>
          <w:ilvl w:val="0"/>
          <w:numId w:val="5"/>
        </w:numPr>
        <w:spacing w:line="260" w:lineRule="exact"/>
        <w:ind w:left="1003" w:hanging="357"/>
      </w:pPr>
      <w:r w:rsidRPr="00066F5F">
        <w:t>Valor percentual de Z</w:t>
      </w:r>
      <w:r w:rsidRPr="00066F5F">
        <w:rPr>
          <w:vertAlign w:val="subscript"/>
        </w:rPr>
        <w:t>sup</w:t>
      </w:r>
      <w:r w:rsidRPr="00066F5F">
        <w:t xml:space="preserve"> a ser subtraído de L</w:t>
      </w:r>
      <w:r w:rsidRPr="00066F5F">
        <w:rPr>
          <w:vertAlign w:val="subscript"/>
        </w:rPr>
        <w:t>inf</w:t>
      </w:r>
      <w:r w:rsidRPr="00066F5F">
        <w:t xml:space="preserve"> para o critério de parada estatístico: 10%;</w:t>
      </w:r>
    </w:p>
    <w:p w:rsidR="00466A93" w:rsidRPr="00066F5F" w:rsidRDefault="00466A93" w:rsidP="00466A93">
      <w:pPr>
        <w:pStyle w:val="CorpodoTexto"/>
        <w:numPr>
          <w:ilvl w:val="0"/>
          <w:numId w:val="5"/>
        </w:numPr>
        <w:spacing w:line="260" w:lineRule="exact"/>
        <w:ind w:left="1003" w:hanging="357"/>
      </w:pPr>
      <w:r w:rsidRPr="00066F5F">
        <w:t>Valor máximo percentual para delta de Z</w:t>
      </w:r>
      <w:r w:rsidRPr="00066F5F">
        <w:rPr>
          <w:vertAlign w:val="subscript"/>
        </w:rPr>
        <w:t>inf</w:t>
      </w:r>
      <w:r w:rsidRPr="00066F5F">
        <w:t xml:space="preserve"> no critério de parada não estatístico: 0,2%;</w:t>
      </w:r>
    </w:p>
    <w:p w:rsidR="00466A93" w:rsidRPr="00066F5F" w:rsidRDefault="00466A93" w:rsidP="00466A93">
      <w:pPr>
        <w:pStyle w:val="CorpodoTexto"/>
        <w:numPr>
          <w:ilvl w:val="0"/>
          <w:numId w:val="5"/>
        </w:numPr>
        <w:spacing w:line="260" w:lineRule="exact"/>
        <w:ind w:left="1003" w:hanging="357"/>
      </w:pPr>
      <w:r w:rsidRPr="00066F5F">
        <w:t>Número de deltas de Z</w:t>
      </w:r>
      <w:r w:rsidRPr="00066F5F">
        <w:rPr>
          <w:vertAlign w:val="subscript"/>
        </w:rPr>
        <w:t>inf</w:t>
      </w:r>
      <w:r w:rsidRPr="00066F5F">
        <w:t xml:space="preserve"> consecutivos a serem considerados no critério não estatístico: 3;</w:t>
      </w:r>
    </w:p>
    <w:p w:rsidR="00DE5B8E" w:rsidRPr="00066F5F" w:rsidRDefault="00DE5B8E" w:rsidP="00466A93">
      <w:pPr>
        <w:pStyle w:val="CorpodoTexto"/>
        <w:numPr>
          <w:ilvl w:val="0"/>
          <w:numId w:val="5"/>
        </w:numPr>
        <w:spacing w:line="260" w:lineRule="exact"/>
        <w:ind w:left="1003" w:hanging="357"/>
      </w:pPr>
      <w:r w:rsidRPr="00066F5F">
        <w:t>CV</w:t>
      </w:r>
      <w:r w:rsidR="00945C09" w:rsidRPr="00066F5F">
        <w:t>a</w:t>
      </w:r>
      <w:r w:rsidRPr="00066F5F">
        <w:t>R com alfa 50% e lambda 25% constantes no tempo</w:t>
      </w:r>
    </w:p>
    <w:p w:rsidR="00D1036A" w:rsidRPr="00066F5F" w:rsidRDefault="00466A93" w:rsidP="00466A93">
      <w:pPr>
        <w:pStyle w:val="CorpodoTexto"/>
      </w:pPr>
      <w:r w:rsidRPr="00066F5F">
        <w:t>•</w:t>
      </w:r>
      <w:r w:rsidRPr="00066F5F">
        <w:tab/>
      </w:r>
      <w:r w:rsidR="00D1036A" w:rsidRPr="00066F5F">
        <w:t>Proporcionalidade da carga: adotada a proporcionalidade do ano 2018 do Plano Decenal de Expansão de Energia 2021, já incorporada a carga prevista para os trechos isolados dos estados do Acre e Rondônia, que na data em questão já estarão interligados ao SIN. Foi mantida a premissa de ajuste dos sistemas dois a dois, quais sejam: Sudeste/Acre/Rondônia/C.Oeste e Sul - Nordeste e Norte/Macapá/Manaus/Belo Monte. A proporcionalidade entre os mercados é apresentada a seguir:</w:t>
      </w:r>
    </w:p>
    <w:p w:rsidR="00466A93" w:rsidRPr="00066F5F" w:rsidRDefault="00466A93" w:rsidP="00466A93">
      <w:pPr>
        <w:pStyle w:val="Titulo-TabeGraf"/>
        <w:ind w:left="431"/>
        <w:jc w:val="center"/>
      </w:pPr>
      <w:bookmarkStart w:id="10" w:name="_Ref298488706"/>
      <w:bookmarkStart w:id="11" w:name="_Toc280111914"/>
      <w:bookmarkStart w:id="12" w:name="_Toc299118750"/>
      <w:r w:rsidRPr="00066F5F">
        <w:t xml:space="preserve">Tabela </w:t>
      </w:r>
      <w:r w:rsidR="00DA7738">
        <w:fldChar w:fldCharType="begin"/>
      </w:r>
      <w:r w:rsidR="0049151C">
        <w:instrText xml:space="preserve"> SEQ Tabela \* ARABIC </w:instrText>
      </w:r>
      <w:r w:rsidR="00DA7738">
        <w:fldChar w:fldCharType="separate"/>
      </w:r>
      <w:r w:rsidR="00E771B0" w:rsidRPr="00066F5F">
        <w:rPr>
          <w:noProof/>
        </w:rPr>
        <w:t>1</w:t>
      </w:r>
      <w:r w:rsidR="00DA7738">
        <w:rPr>
          <w:noProof/>
        </w:rPr>
        <w:fldChar w:fldCharType="end"/>
      </w:r>
      <w:bookmarkEnd w:id="10"/>
      <w:r w:rsidRPr="00066F5F">
        <w:t xml:space="preserve"> – Proporcionalidade da Carga de Energia – Ano 201</w:t>
      </w:r>
      <w:bookmarkEnd w:id="11"/>
      <w:bookmarkEnd w:id="12"/>
      <w:r w:rsidR="00D1036A" w:rsidRPr="00066F5F">
        <w:t>8</w:t>
      </w:r>
    </w:p>
    <w:tbl>
      <w:tblPr>
        <w:tblW w:w="5733" w:type="dxa"/>
        <w:jc w:val="center"/>
        <w:tblInd w:w="120" w:type="dxa"/>
        <w:tblLayout w:type="fixed"/>
        <w:tblCellMar>
          <w:left w:w="70" w:type="dxa"/>
          <w:right w:w="70" w:type="dxa"/>
        </w:tblCellMar>
        <w:tblLook w:val="04A0"/>
      </w:tblPr>
      <w:tblGrid>
        <w:gridCol w:w="1145"/>
        <w:gridCol w:w="1146"/>
        <w:gridCol w:w="9"/>
        <w:gridCol w:w="1136"/>
        <w:gridCol w:w="1146"/>
        <w:gridCol w:w="1151"/>
      </w:tblGrid>
      <w:tr w:rsidR="00AA683E" w:rsidRPr="00066F5F" w:rsidTr="00935B45">
        <w:trPr>
          <w:trHeight w:val="270"/>
          <w:jc w:val="center"/>
        </w:trPr>
        <w:tc>
          <w:tcPr>
            <w:tcW w:w="5733" w:type="dxa"/>
            <w:gridSpan w:val="6"/>
            <w:tcBorders>
              <w:top w:val="single" w:sz="8" w:space="0" w:color="000000"/>
              <w:left w:val="nil"/>
              <w:right w:val="nil"/>
            </w:tcBorders>
            <w:shd w:val="clear" w:color="000000" w:fill="FFC000"/>
            <w:noWrap/>
            <w:vAlign w:val="bottom"/>
            <w:hideMark/>
          </w:tcPr>
          <w:p w:rsidR="00466A93" w:rsidRPr="00066F5F" w:rsidRDefault="00466A93" w:rsidP="002348ED">
            <w:pPr>
              <w:jc w:val="center"/>
              <w:rPr>
                <w:rFonts w:ascii="Tahoma" w:hAnsi="Tahoma" w:cs="Tahoma"/>
                <w:sz w:val="18"/>
              </w:rPr>
            </w:pPr>
            <w:r w:rsidRPr="00066F5F">
              <w:rPr>
                <w:rFonts w:ascii="Tahoma" w:hAnsi="Tahoma" w:cs="Tahoma"/>
                <w:b/>
                <w:bCs/>
                <w:sz w:val="18"/>
                <w:szCs w:val="18"/>
              </w:rPr>
              <w:t xml:space="preserve">MERCADO DE REFERÊNCIA </w:t>
            </w:r>
            <w:r w:rsidR="002348ED" w:rsidRPr="00066F5F">
              <w:rPr>
                <w:rFonts w:ascii="Tahoma" w:hAnsi="Tahoma" w:cs="Tahoma"/>
                <w:b/>
                <w:bCs/>
                <w:sz w:val="18"/>
                <w:szCs w:val="18"/>
              </w:rPr>
              <w:t xml:space="preserve">2018 </w:t>
            </w:r>
            <w:r w:rsidRPr="00066F5F">
              <w:rPr>
                <w:rFonts w:ascii="Tahoma" w:hAnsi="Tahoma" w:cs="Tahoma"/>
                <w:b/>
                <w:bCs/>
                <w:sz w:val="18"/>
                <w:szCs w:val="18"/>
              </w:rPr>
              <w:t xml:space="preserve">- PDE </w:t>
            </w:r>
            <w:r w:rsidR="002348ED" w:rsidRPr="00066F5F">
              <w:rPr>
                <w:rFonts w:ascii="Tahoma" w:hAnsi="Tahoma" w:cs="Tahoma"/>
                <w:b/>
                <w:bCs/>
                <w:sz w:val="18"/>
                <w:szCs w:val="18"/>
              </w:rPr>
              <w:t>2021</w:t>
            </w:r>
          </w:p>
        </w:tc>
      </w:tr>
      <w:tr w:rsidR="00AA683E" w:rsidRPr="00066F5F" w:rsidTr="00935B45">
        <w:trPr>
          <w:trHeight w:val="270"/>
          <w:jc w:val="center"/>
        </w:trPr>
        <w:tc>
          <w:tcPr>
            <w:tcW w:w="1145" w:type="dxa"/>
            <w:tcBorders>
              <w:top w:val="nil"/>
              <w:left w:val="nil"/>
              <w:bottom w:val="single" w:sz="8" w:space="0" w:color="000000"/>
              <w:right w:val="nil"/>
            </w:tcBorders>
            <w:shd w:val="clear" w:color="000000" w:fill="FFC000"/>
            <w:noWrap/>
            <w:vAlign w:val="bottom"/>
            <w:hideMark/>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SE/CO/RO</w:t>
            </w:r>
          </w:p>
        </w:tc>
        <w:tc>
          <w:tcPr>
            <w:tcW w:w="1146" w:type="dxa"/>
            <w:tcBorders>
              <w:top w:val="nil"/>
              <w:left w:val="nil"/>
              <w:bottom w:val="single" w:sz="8" w:space="0" w:color="000000"/>
              <w:right w:val="nil"/>
            </w:tcBorders>
            <w:shd w:val="clear" w:color="000000" w:fill="FFC000"/>
            <w:noWrap/>
            <w:vAlign w:val="bottom"/>
            <w:hideMark/>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S</w:t>
            </w:r>
          </w:p>
        </w:tc>
        <w:tc>
          <w:tcPr>
            <w:tcW w:w="1145" w:type="dxa"/>
            <w:gridSpan w:val="2"/>
            <w:tcBorders>
              <w:top w:val="nil"/>
              <w:left w:val="nil"/>
              <w:bottom w:val="single" w:sz="8" w:space="0" w:color="000000"/>
              <w:right w:val="nil"/>
            </w:tcBorders>
            <w:shd w:val="clear" w:color="000000" w:fill="FFC000"/>
            <w:noWrap/>
            <w:vAlign w:val="bottom"/>
            <w:hideMark/>
          </w:tcPr>
          <w:p w:rsidR="00466A93" w:rsidRPr="00066F5F" w:rsidRDefault="00466A93" w:rsidP="00935B45">
            <w:pPr>
              <w:jc w:val="center"/>
              <w:rPr>
                <w:rFonts w:ascii="Tahoma" w:hAnsi="Tahoma" w:cs="Tahoma"/>
                <w:b/>
                <w:bCs/>
                <w:sz w:val="18"/>
                <w:szCs w:val="18"/>
              </w:rPr>
            </w:pPr>
          </w:p>
        </w:tc>
        <w:tc>
          <w:tcPr>
            <w:tcW w:w="1146" w:type="dxa"/>
            <w:tcBorders>
              <w:top w:val="nil"/>
              <w:left w:val="nil"/>
              <w:bottom w:val="single" w:sz="8" w:space="0" w:color="000000"/>
              <w:right w:val="nil"/>
            </w:tcBorders>
            <w:shd w:val="clear" w:color="000000" w:fill="FFC000"/>
            <w:noWrap/>
            <w:vAlign w:val="bottom"/>
            <w:hideMark/>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NE</w:t>
            </w:r>
          </w:p>
        </w:tc>
        <w:tc>
          <w:tcPr>
            <w:tcW w:w="1151" w:type="dxa"/>
            <w:tcBorders>
              <w:top w:val="nil"/>
              <w:left w:val="nil"/>
              <w:bottom w:val="single" w:sz="8" w:space="0" w:color="000000"/>
              <w:right w:val="nil"/>
            </w:tcBorders>
            <w:shd w:val="clear" w:color="000000" w:fill="FFC000"/>
            <w:noWrap/>
            <w:vAlign w:val="bottom"/>
            <w:hideMark/>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N</w:t>
            </w:r>
          </w:p>
        </w:tc>
      </w:tr>
      <w:tr w:rsidR="00AA683E" w:rsidRPr="00066F5F" w:rsidTr="00D1036A">
        <w:trPr>
          <w:trHeight w:val="270"/>
          <w:jc w:val="center"/>
        </w:trPr>
        <w:tc>
          <w:tcPr>
            <w:tcW w:w="1145" w:type="dxa"/>
            <w:tcBorders>
              <w:top w:val="single" w:sz="8" w:space="0" w:color="000000"/>
              <w:left w:val="nil"/>
              <w:bottom w:val="single" w:sz="8" w:space="0" w:color="BFBFBF"/>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48.916</w:t>
            </w:r>
          </w:p>
        </w:tc>
        <w:tc>
          <w:tcPr>
            <w:tcW w:w="1146" w:type="dxa"/>
            <w:tcBorders>
              <w:top w:val="single" w:sz="8" w:space="0" w:color="000000"/>
              <w:bottom w:val="single" w:sz="8" w:space="0" w:color="BFBFBF"/>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12.564</w:t>
            </w:r>
          </w:p>
        </w:tc>
        <w:tc>
          <w:tcPr>
            <w:tcW w:w="1145" w:type="dxa"/>
            <w:gridSpan w:val="2"/>
            <w:tcBorders>
              <w:top w:val="single" w:sz="8" w:space="0" w:color="000000"/>
              <w:bottom w:val="single" w:sz="8" w:space="0" w:color="BFBFBF"/>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 </w:t>
            </w:r>
          </w:p>
        </w:tc>
        <w:tc>
          <w:tcPr>
            <w:tcW w:w="1146" w:type="dxa"/>
            <w:tcBorders>
              <w:top w:val="single" w:sz="8" w:space="0" w:color="000000"/>
              <w:bottom w:val="single" w:sz="8" w:space="0" w:color="BFBFBF"/>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11.472</w:t>
            </w:r>
          </w:p>
        </w:tc>
        <w:tc>
          <w:tcPr>
            <w:tcW w:w="1151" w:type="dxa"/>
            <w:tcBorders>
              <w:top w:val="single" w:sz="8" w:space="0" w:color="000000"/>
              <w:bottom w:val="single" w:sz="8" w:space="0" w:color="BFBFBF"/>
              <w:right w:val="nil"/>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7.138</w:t>
            </w:r>
          </w:p>
        </w:tc>
      </w:tr>
      <w:tr w:rsidR="00AA683E" w:rsidRPr="00066F5F" w:rsidTr="00D1036A">
        <w:trPr>
          <w:trHeight w:val="270"/>
          <w:jc w:val="center"/>
        </w:trPr>
        <w:tc>
          <w:tcPr>
            <w:tcW w:w="1145" w:type="dxa"/>
            <w:tcBorders>
              <w:top w:val="nil"/>
              <w:left w:val="nil"/>
              <w:bottom w:val="single" w:sz="8" w:space="0" w:color="000000"/>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79,6%</w:t>
            </w:r>
          </w:p>
        </w:tc>
        <w:tc>
          <w:tcPr>
            <w:tcW w:w="1146" w:type="dxa"/>
            <w:tcBorders>
              <w:top w:val="nil"/>
              <w:bottom w:val="single" w:sz="8" w:space="0" w:color="000000"/>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20,4%</w:t>
            </w:r>
          </w:p>
        </w:tc>
        <w:tc>
          <w:tcPr>
            <w:tcW w:w="1145" w:type="dxa"/>
            <w:gridSpan w:val="2"/>
            <w:tcBorders>
              <w:top w:val="nil"/>
              <w:bottom w:val="single" w:sz="8" w:space="0" w:color="000000"/>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 </w:t>
            </w:r>
          </w:p>
        </w:tc>
        <w:tc>
          <w:tcPr>
            <w:tcW w:w="1146" w:type="dxa"/>
            <w:tcBorders>
              <w:top w:val="nil"/>
              <w:bottom w:val="single" w:sz="8" w:space="0" w:color="000000"/>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61,6%</w:t>
            </w:r>
          </w:p>
        </w:tc>
        <w:tc>
          <w:tcPr>
            <w:tcW w:w="1151" w:type="dxa"/>
            <w:tcBorders>
              <w:top w:val="nil"/>
              <w:bottom w:val="single" w:sz="8" w:space="0" w:color="000000"/>
              <w:right w:val="nil"/>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38,4%</w:t>
            </w:r>
          </w:p>
        </w:tc>
      </w:tr>
      <w:tr w:rsidR="00AA683E" w:rsidRPr="00066F5F" w:rsidTr="00935B45">
        <w:trPr>
          <w:trHeight w:val="270"/>
          <w:jc w:val="center"/>
        </w:trPr>
        <w:tc>
          <w:tcPr>
            <w:tcW w:w="2300" w:type="dxa"/>
            <w:gridSpan w:val="3"/>
            <w:tcBorders>
              <w:top w:val="single" w:sz="8" w:space="0" w:color="000000"/>
              <w:left w:val="nil"/>
              <w:bottom w:val="single" w:sz="8" w:space="0" w:color="000000"/>
            </w:tcBorders>
            <w:shd w:val="clear" w:color="000000" w:fill="FFC000"/>
            <w:noWrap/>
            <w:vAlign w:val="center"/>
          </w:tcPr>
          <w:p w:rsidR="00466A93" w:rsidRPr="00066F5F" w:rsidRDefault="00466A93" w:rsidP="00935B45">
            <w:pPr>
              <w:jc w:val="center"/>
            </w:pPr>
            <w:r w:rsidRPr="00066F5F">
              <w:rPr>
                <w:rFonts w:ascii="Tahoma" w:hAnsi="Tahoma" w:cs="Tahoma"/>
                <w:b/>
                <w:bCs/>
                <w:sz w:val="18"/>
                <w:szCs w:val="18"/>
              </w:rPr>
              <w:t>SSE</w:t>
            </w:r>
          </w:p>
        </w:tc>
        <w:tc>
          <w:tcPr>
            <w:tcW w:w="1136" w:type="dxa"/>
            <w:tcBorders>
              <w:top w:val="single" w:sz="8" w:space="0" w:color="000000"/>
              <w:bottom w:val="single" w:sz="8" w:space="0" w:color="000000"/>
            </w:tcBorders>
            <w:shd w:val="clear" w:color="000000" w:fill="FFC000"/>
            <w:noWrap/>
            <w:vAlign w:val="center"/>
          </w:tcPr>
          <w:p w:rsidR="00466A93" w:rsidRPr="00066F5F" w:rsidRDefault="00466A93" w:rsidP="00935B45">
            <w:pPr>
              <w:jc w:val="center"/>
              <w:rPr>
                <w:rFonts w:ascii="Tahoma" w:hAnsi="Tahoma" w:cs="Tahoma"/>
                <w:b/>
                <w:bCs/>
                <w:sz w:val="18"/>
                <w:szCs w:val="18"/>
              </w:rPr>
            </w:pPr>
          </w:p>
        </w:tc>
        <w:tc>
          <w:tcPr>
            <w:tcW w:w="2297" w:type="dxa"/>
            <w:gridSpan w:val="2"/>
            <w:tcBorders>
              <w:top w:val="single" w:sz="8" w:space="0" w:color="000000"/>
              <w:bottom w:val="single" w:sz="8" w:space="0" w:color="000000"/>
              <w:right w:val="nil"/>
            </w:tcBorders>
            <w:shd w:val="clear" w:color="000000" w:fill="FFC000"/>
            <w:noWrap/>
            <w:vAlign w:val="center"/>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NNE</w:t>
            </w:r>
          </w:p>
        </w:tc>
      </w:tr>
      <w:tr w:rsidR="00AA683E" w:rsidRPr="00066F5F" w:rsidTr="00935B45">
        <w:trPr>
          <w:trHeight w:val="270"/>
          <w:jc w:val="center"/>
        </w:trPr>
        <w:tc>
          <w:tcPr>
            <w:tcW w:w="1145" w:type="dxa"/>
            <w:tcBorders>
              <w:top w:val="single" w:sz="8" w:space="0" w:color="000000"/>
              <w:left w:val="nil"/>
              <w:bottom w:val="single" w:sz="8" w:space="0" w:color="000000"/>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61.480</w:t>
            </w:r>
          </w:p>
        </w:tc>
        <w:tc>
          <w:tcPr>
            <w:tcW w:w="1146" w:type="dxa"/>
            <w:tcBorders>
              <w:top w:val="single" w:sz="8" w:space="0" w:color="000000"/>
              <w:bottom w:val="single" w:sz="8" w:space="0" w:color="000000"/>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76,8%</w:t>
            </w:r>
          </w:p>
        </w:tc>
        <w:tc>
          <w:tcPr>
            <w:tcW w:w="1145" w:type="dxa"/>
            <w:gridSpan w:val="2"/>
            <w:tcBorders>
              <w:top w:val="single" w:sz="8" w:space="0" w:color="000000"/>
              <w:bottom w:val="single" w:sz="8" w:space="0" w:color="000000"/>
            </w:tcBorders>
            <w:shd w:val="clear" w:color="000000" w:fill="FFFFFF"/>
            <w:noWrap/>
            <w:vAlign w:val="bottom"/>
          </w:tcPr>
          <w:p w:rsidR="00D1036A" w:rsidRPr="00066F5F" w:rsidRDefault="00D1036A" w:rsidP="00DA1B3A">
            <w:pPr>
              <w:rPr>
                <w:rFonts w:ascii="Arial" w:hAnsi="Arial" w:cs="Arial"/>
                <w:sz w:val="20"/>
                <w:szCs w:val="20"/>
              </w:rPr>
            </w:pPr>
            <w:r w:rsidRPr="00066F5F">
              <w:rPr>
                <w:rFonts w:ascii="Arial" w:hAnsi="Arial" w:cs="Arial"/>
                <w:sz w:val="20"/>
                <w:szCs w:val="20"/>
              </w:rPr>
              <w:t> </w:t>
            </w:r>
          </w:p>
        </w:tc>
        <w:tc>
          <w:tcPr>
            <w:tcW w:w="1146" w:type="dxa"/>
            <w:tcBorders>
              <w:top w:val="single" w:sz="8" w:space="0" w:color="000000"/>
              <w:bottom w:val="single" w:sz="8" w:space="0" w:color="000000"/>
            </w:tcBorders>
            <w:shd w:val="clear" w:color="000000" w:fill="FFFFFF"/>
            <w:noWrap/>
            <w:vAlign w:val="bottom"/>
          </w:tcPr>
          <w:p w:rsidR="00D1036A" w:rsidRPr="00066F5F" w:rsidRDefault="00D1036A" w:rsidP="00DA1B3A">
            <w:pPr>
              <w:jc w:val="center"/>
              <w:rPr>
                <w:rFonts w:ascii="Tahoma" w:hAnsi="Tahoma" w:cs="Tahoma"/>
                <w:sz w:val="18"/>
                <w:szCs w:val="18"/>
              </w:rPr>
            </w:pPr>
            <w:r w:rsidRPr="00066F5F">
              <w:rPr>
                <w:rFonts w:ascii="Tahoma" w:hAnsi="Tahoma" w:cs="Tahoma"/>
                <w:sz w:val="18"/>
                <w:szCs w:val="18"/>
              </w:rPr>
              <w:t>18.610</w:t>
            </w:r>
          </w:p>
        </w:tc>
        <w:tc>
          <w:tcPr>
            <w:tcW w:w="1151" w:type="dxa"/>
            <w:tcBorders>
              <w:top w:val="single" w:sz="8" w:space="0" w:color="000000"/>
              <w:bottom w:val="single" w:sz="8" w:space="0" w:color="000000"/>
              <w:right w:val="nil"/>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23,2%</w:t>
            </w:r>
          </w:p>
        </w:tc>
      </w:tr>
      <w:tr w:rsidR="00AA683E" w:rsidRPr="00066F5F" w:rsidTr="00935B45">
        <w:trPr>
          <w:trHeight w:val="270"/>
          <w:jc w:val="center"/>
        </w:trPr>
        <w:tc>
          <w:tcPr>
            <w:tcW w:w="5733" w:type="dxa"/>
            <w:gridSpan w:val="6"/>
            <w:tcBorders>
              <w:top w:val="single" w:sz="8" w:space="0" w:color="000000"/>
              <w:left w:val="nil"/>
              <w:bottom w:val="single" w:sz="8" w:space="0" w:color="000000"/>
              <w:right w:val="nil"/>
            </w:tcBorders>
            <w:shd w:val="clear" w:color="000000" w:fill="FFC000"/>
            <w:noWrap/>
            <w:vAlign w:val="bottom"/>
          </w:tcPr>
          <w:p w:rsidR="00466A93" w:rsidRPr="00066F5F" w:rsidRDefault="00466A93" w:rsidP="00935B45">
            <w:pPr>
              <w:jc w:val="center"/>
              <w:rPr>
                <w:rFonts w:ascii="Tahoma" w:hAnsi="Tahoma" w:cs="Tahoma"/>
                <w:b/>
                <w:bCs/>
                <w:sz w:val="18"/>
                <w:szCs w:val="18"/>
              </w:rPr>
            </w:pPr>
            <w:r w:rsidRPr="00066F5F">
              <w:rPr>
                <w:rFonts w:ascii="Tahoma" w:hAnsi="Tahoma" w:cs="Tahoma"/>
                <w:b/>
                <w:bCs/>
                <w:sz w:val="18"/>
                <w:szCs w:val="18"/>
              </w:rPr>
              <w:t>BRASIL</w:t>
            </w:r>
          </w:p>
        </w:tc>
      </w:tr>
      <w:tr w:rsidR="00AA683E" w:rsidRPr="00066F5F" w:rsidTr="00935B45">
        <w:trPr>
          <w:trHeight w:val="270"/>
          <w:jc w:val="center"/>
        </w:trPr>
        <w:tc>
          <w:tcPr>
            <w:tcW w:w="5733" w:type="dxa"/>
            <w:gridSpan w:val="6"/>
            <w:tcBorders>
              <w:top w:val="single" w:sz="8" w:space="0" w:color="000000"/>
              <w:left w:val="nil"/>
              <w:bottom w:val="single" w:sz="8" w:space="0" w:color="000000"/>
              <w:right w:val="nil"/>
            </w:tcBorders>
            <w:shd w:val="clear" w:color="000000" w:fill="FFFFFF"/>
            <w:noWrap/>
            <w:vAlign w:val="bottom"/>
          </w:tcPr>
          <w:p w:rsidR="00D1036A" w:rsidRPr="00066F5F" w:rsidRDefault="00D1036A" w:rsidP="00DA1B3A">
            <w:pPr>
              <w:jc w:val="center"/>
              <w:rPr>
                <w:rFonts w:ascii="Tahoma" w:hAnsi="Tahoma" w:cs="Tahoma"/>
                <w:b/>
                <w:bCs/>
                <w:sz w:val="18"/>
                <w:szCs w:val="18"/>
              </w:rPr>
            </w:pPr>
            <w:r w:rsidRPr="00066F5F">
              <w:rPr>
                <w:rFonts w:ascii="Tahoma" w:hAnsi="Tahoma" w:cs="Tahoma"/>
                <w:b/>
                <w:bCs/>
                <w:sz w:val="18"/>
                <w:szCs w:val="18"/>
              </w:rPr>
              <w:t>80.090</w:t>
            </w:r>
          </w:p>
        </w:tc>
      </w:tr>
    </w:tbl>
    <w:p w:rsidR="00466A93" w:rsidRPr="00066F5F" w:rsidRDefault="00466A93" w:rsidP="00466A93">
      <w:pPr>
        <w:pStyle w:val="CorpodoTexto"/>
        <w:spacing w:before="360"/>
      </w:pPr>
      <w:r w:rsidRPr="00066F5F">
        <w:t>•</w:t>
      </w:r>
      <w:r w:rsidRPr="00066F5F">
        <w:tab/>
        <w:t>Critério de Garantia de Atendimento à Carga: CMO igual ao CME</w:t>
      </w:r>
      <w:r w:rsidRPr="00066F5F">
        <w:rPr>
          <w:rStyle w:val="Refdenotaderodap"/>
        </w:rPr>
        <w:footnoteReference w:id="1"/>
      </w:r>
      <w:r w:rsidRPr="00066F5F">
        <w:t xml:space="preserve">, em pelo menos um dos subsistemas das regiões SE/CO/AC/RO-S e N/Mac/Man/BM-NE, limitado o risco de déficit em 5%, conforme critério de cálculo de garantia física vigente. </w:t>
      </w:r>
    </w:p>
    <w:p w:rsidR="00466A93" w:rsidRPr="00066F5F" w:rsidRDefault="00466A93" w:rsidP="00466A93">
      <w:pPr>
        <w:pStyle w:val="CorpodoTexto"/>
      </w:pPr>
      <w:r w:rsidRPr="00066F5F">
        <w:t>•</w:t>
      </w:r>
      <w:r w:rsidRPr="00066F5F">
        <w:tab/>
        <w:t>O Custo Marginal da Expansão – CME</w:t>
      </w:r>
      <w:r w:rsidR="00020686" w:rsidRPr="00066F5F">
        <w:t>: estimado em 102 R$/MWh, o mesmo utilizado no Plano Decenal de Expansão de Energia 2021, aprovado em março de 2013</w:t>
      </w:r>
      <w:r w:rsidR="00183FAC">
        <w:t xml:space="preserve">, por meio da </w:t>
      </w:r>
      <w:r w:rsidR="00484FAF">
        <w:t>P</w:t>
      </w:r>
      <w:r w:rsidR="00484FAF" w:rsidRPr="00484FAF">
        <w:t xml:space="preserve">ortaria </w:t>
      </w:r>
      <w:r w:rsidR="00B83246" w:rsidRPr="00484FAF">
        <w:t>MME</w:t>
      </w:r>
      <w:r w:rsidR="00484FAF">
        <w:t xml:space="preserve"> </w:t>
      </w:r>
      <w:r w:rsidR="00B83246" w:rsidRPr="00484FAF">
        <w:t xml:space="preserve"> nº</w:t>
      </w:r>
      <w:r w:rsidR="00484FAF">
        <w:t xml:space="preserve"> 107 de 25 de março de 2013</w:t>
      </w:r>
      <w:r w:rsidR="00020686" w:rsidRPr="00066F5F">
        <w:t xml:space="preserve">. Este valor foi calculado conforme </w:t>
      </w:r>
      <w:r w:rsidR="00020686" w:rsidRPr="00066F5F">
        <w:lastRenderedPageBreak/>
        <w:t>metodologia presente na NT EPE-DEE-RE-091/2011-r0, considerando os preços dos leilões referenciados a julho/2011.</w:t>
      </w:r>
    </w:p>
    <w:p w:rsidR="00466A93" w:rsidRPr="00066F5F" w:rsidRDefault="00466A93" w:rsidP="00466A93">
      <w:pPr>
        <w:pStyle w:val="CorpodoTexto"/>
      </w:pPr>
      <w:r w:rsidRPr="00066F5F">
        <w:t>•</w:t>
      </w:r>
      <w:r w:rsidRPr="00066F5F">
        <w:tab/>
        <w:t>Taxa de Desconto: 8% ao ano</w:t>
      </w:r>
      <w:r w:rsidR="00D86D13" w:rsidRPr="00066F5F">
        <w:t>,</w:t>
      </w:r>
      <w:r w:rsidRPr="00066F5F">
        <w:t xml:space="preserve"> </w:t>
      </w:r>
      <w:r w:rsidR="00D86D13" w:rsidRPr="00066F5F">
        <w:t>conforme</w:t>
      </w:r>
      <w:r w:rsidRPr="00066F5F">
        <w:t xml:space="preserve"> Plano Decenal de Expansão de Energia 202</w:t>
      </w:r>
      <w:r w:rsidR="00020686" w:rsidRPr="00066F5F">
        <w:t>1</w:t>
      </w:r>
      <w:r w:rsidRPr="00066F5F">
        <w:t>.</w:t>
      </w:r>
    </w:p>
    <w:p w:rsidR="00466A93" w:rsidRPr="00066F5F" w:rsidRDefault="00466A93" w:rsidP="00466A93">
      <w:pPr>
        <w:pStyle w:val="CorpodoTexto"/>
      </w:pPr>
      <w:r w:rsidRPr="00066F5F">
        <w:t>•</w:t>
      </w:r>
      <w:r w:rsidRPr="00066F5F">
        <w:tab/>
        <w:t xml:space="preserve">Função Custo do Déficit de Energia: Atualizado o valor para R$ </w:t>
      </w:r>
      <w:r w:rsidR="004B310B" w:rsidRPr="00066F5F">
        <w:t>3</w:t>
      </w:r>
      <w:r w:rsidRPr="00066F5F">
        <w:t>.</w:t>
      </w:r>
      <w:r w:rsidR="004B310B" w:rsidRPr="00066F5F">
        <w:t>10</w:t>
      </w:r>
      <w:r w:rsidRPr="00066F5F">
        <w:t>0,00/MWh, de acordo com a metodologia prevista na Nota Técnica “Atualização do valor para patamar único de Custo de Déficit – 201</w:t>
      </w:r>
      <w:r w:rsidR="00020686" w:rsidRPr="00066F5F">
        <w:t>3</w:t>
      </w:r>
      <w:r w:rsidRPr="00066F5F">
        <w:t>” (EPE-DEE-RE-0</w:t>
      </w:r>
      <w:r w:rsidR="004B310B" w:rsidRPr="00066F5F">
        <w:t>0</w:t>
      </w:r>
      <w:r w:rsidR="00020686" w:rsidRPr="00066F5F">
        <w:t>7 /2013</w:t>
      </w:r>
      <w:r w:rsidRPr="00066F5F">
        <w:t>-r0), de 1</w:t>
      </w:r>
      <w:r w:rsidR="00020686" w:rsidRPr="00066F5F">
        <w:t>8</w:t>
      </w:r>
      <w:r w:rsidRPr="00066F5F">
        <w:t xml:space="preserve"> de </w:t>
      </w:r>
      <w:r w:rsidR="004B310B" w:rsidRPr="00066F5F">
        <w:t>janeiro</w:t>
      </w:r>
      <w:r w:rsidRPr="00066F5F">
        <w:t xml:space="preserve"> de 201</w:t>
      </w:r>
      <w:r w:rsidR="00020686" w:rsidRPr="00066F5F">
        <w:t>3</w:t>
      </w:r>
      <w:r w:rsidRPr="00066F5F">
        <w:t>.</w:t>
      </w:r>
    </w:p>
    <w:p w:rsidR="00466A93" w:rsidRPr="00066F5F" w:rsidRDefault="00466A93" w:rsidP="00466A93">
      <w:pPr>
        <w:pStyle w:val="CorpodoTexto"/>
      </w:pPr>
      <w:r w:rsidRPr="00066F5F">
        <w:t>•</w:t>
      </w:r>
      <w:r w:rsidRPr="00066F5F">
        <w:tab/>
        <w:t xml:space="preserve">Penalidade por não atendimento ao desvio de água para outros usos: Penalidade associada à violação da restrição = R$ </w:t>
      </w:r>
      <w:r w:rsidR="004B310B" w:rsidRPr="00066F5F">
        <w:t>3</w:t>
      </w:r>
      <w:r w:rsidRPr="00066F5F">
        <w:t>.</w:t>
      </w:r>
      <w:r w:rsidR="004B310B" w:rsidRPr="00066F5F">
        <w:t>103</w:t>
      </w:r>
      <w:r w:rsidRPr="00066F5F">
        <w:t>,</w:t>
      </w:r>
      <w:r w:rsidR="004B310B" w:rsidRPr="00066F5F">
        <w:t>20</w:t>
      </w:r>
      <w:r w:rsidRPr="00066F5F">
        <w:t>/MWh, de acordo com a Portaria MME Nº 258 de 28 de julho de 2008.</w:t>
      </w:r>
    </w:p>
    <w:p w:rsidR="003C0CD4" w:rsidRPr="00066F5F" w:rsidRDefault="003C0CD4" w:rsidP="00466A93">
      <w:pPr>
        <w:pStyle w:val="CorpodoTexto"/>
      </w:pPr>
      <w:r w:rsidRPr="00066F5F">
        <w:t>•</w:t>
      </w:r>
      <w:r w:rsidRPr="00066F5F">
        <w:tab/>
        <w:t>Penalidade por não atendimento à restrição de vazão mínima:</w:t>
      </w:r>
      <w:r w:rsidR="0053758E" w:rsidRPr="00066F5F">
        <w:t xml:space="preserve"> </w:t>
      </w:r>
      <w:r w:rsidR="00066F5F" w:rsidRPr="00066F5F">
        <w:t>R$</w:t>
      </w:r>
      <w:r w:rsidR="0053758E" w:rsidRPr="00066F5F">
        <w:t>3</w:t>
      </w:r>
      <w:r w:rsidR="00066F5F" w:rsidRPr="00066F5F">
        <w:t>.101,00</w:t>
      </w:r>
      <w:r w:rsidR="0053758E" w:rsidRPr="00066F5F">
        <w:t>/MWh</w:t>
      </w:r>
      <w:r w:rsidR="00E57043" w:rsidRPr="00066F5F">
        <w:t xml:space="preserve">, </w:t>
      </w:r>
      <w:r w:rsidR="00C00E2B" w:rsidRPr="00066F5F">
        <w:t>mesmo valor adotado no</w:t>
      </w:r>
      <w:r w:rsidR="00E57043" w:rsidRPr="00066F5F">
        <w:t xml:space="preserve"> Plano da Operação Energética 2013/2017</w:t>
      </w:r>
      <w:r w:rsidR="00300F3B" w:rsidRPr="00066F5F">
        <w:t xml:space="preserve"> – PEN 2013</w:t>
      </w:r>
      <w:r w:rsidR="00D86D13" w:rsidRPr="00066F5F">
        <w:t>, do ONS</w:t>
      </w:r>
      <w:r w:rsidR="00C00E2B" w:rsidRPr="00066F5F">
        <w:t>.</w:t>
      </w:r>
    </w:p>
    <w:p w:rsidR="00466A93" w:rsidRPr="00066F5F" w:rsidRDefault="00466A93" w:rsidP="00466A93">
      <w:pPr>
        <w:pStyle w:val="CorpodoTexto"/>
      </w:pPr>
      <w:r w:rsidRPr="00066F5F">
        <w:t>•</w:t>
      </w:r>
      <w:r w:rsidRPr="00066F5F">
        <w:tab/>
        <w:t xml:space="preserve">Manutenção: Não foi considerada manutenção explícita, </w:t>
      </w:r>
      <w:r w:rsidR="00183FAC">
        <w:t>mas</w:t>
      </w:r>
      <w:r w:rsidRPr="00066F5F">
        <w:t xml:space="preserve"> sim, índices de indisponibilidade forçada - TEIF e indisponibilidade programada - IP. Para as usinas hidrelétricas</w:t>
      </w:r>
      <w:r w:rsidR="00D86D13" w:rsidRPr="00066F5F">
        <w:t xml:space="preserve"> constantes da configuração</w:t>
      </w:r>
      <w:r w:rsidRPr="00066F5F">
        <w:t>, foram considerados os seguintes índices recomendados pelo BRACIER:</w:t>
      </w:r>
    </w:p>
    <w:p w:rsidR="00466A93" w:rsidRPr="00066F5F" w:rsidRDefault="00466A93" w:rsidP="00466A93">
      <w:pPr>
        <w:pStyle w:val="Titulo-TabeGraf"/>
        <w:ind w:left="431"/>
        <w:jc w:val="center"/>
      </w:pPr>
      <w:bookmarkStart w:id="13" w:name="_Toc280111915"/>
      <w:bookmarkStart w:id="14" w:name="_Toc299118751"/>
      <w:r w:rsidRPr="00066F5F">
        <w:t xml:space="preserve">Tabela </w:t>
      </w:r>
      <w:r w:rsidR="00DA7738">
        <w:fldChar w:fldCharType="begin"/>
      </w:r>
      <w:r w:rsidR="0049151C">
        <w:instrText xml:space="preserve"> SEQ Tabela \* ARABIC </w:instrText>
      </w:r>
      <w:r w:rsidR="00DA7738">
        <w:fldChar w:fldCharType="separate"/>
      </w:r>
      <w:r w:rsidR="00E771B0" w:rsidRPr="00066F5F">
        <w:rPr>
          <w:noProof/>
        </w:rPr>
        <w:t>2</w:t>
      </w:r>
      <w:r w:rsidR="00DA7738">
        <w:rPr>
          <w:noProof/>
        </w:rPr>
        <w:fldChar w:fldCharType="end"/>
      </w:r>
      <w:r w:rsidRPr="00066F5F">
        <w:t xml:space="preserve"> – Valores de TEIF e IP recomendados pelo Bracier</w:t>
      </w:r>
      <w:bookmarkEnd w:id="13"/>
      <w:bookmarkEnd w:id="14"/>
    </w:p>
    <w:tbl>
      <w:tblPr>
        <w:tblW w:w="0" w:type="auto"/>
        <w:jc w:val="center"/>
        <w:tblInd w:w="1263" w:type="dxa"/>
        <w:tblLook w:val="01E0"/>
      </w:tblPr>
      <w:tblGrid>
        <w:gridCol w:w="2339"/>
        <w:gridCol w:w="2339"/>
        <w:gridCol w:w="2339"/>
      </w:tblGrid>
      <w:tr w:rsidR="00AA683E" w:rsidRPr="00066F5F" w:rsidTr="00935B45">
        <w:trPr>
          <w:trHeight w:val="401"/>
          <w:jc w:val="center"/>
        </w:trPr>
        <w:tc>
          <w:tcPr>
            <w:tcW w:w="2339" w:type="dxa"/>
            <w:tcBorders>
              <w:top w:val="single" w:sz="6" w:space="0" w:color="auto"/>
              <w:left w:val="nil"/>
              <w:bottom w:val="single" w:sz="2" w:space="0" w:color="000000"/>
              <w:right w:val="nil"/>
            </w:tcBorders>
            <w:shd w:val="clear" w:color="C0C0C0" w:fill="FFC000"/>
            <w:vAlign w:val="center"/>
          </w:tcPr>
          <w:p w:rsidR="00466A93" w:rsidRPr="00066F5F" w:rsidRDefault="00466A93" w:rsidP="00935B45">
            <w:pPr>
              <w:ind w:left="480"/>
              <w:jc w:val="center"/>
              <w:rPr>
                <w:rFonts w:ascii="Tahoma" w:hAnsi="Tahoma" w:cs="Tahoma"/>
                <w:b/>
                <w:sz w:val="18"/>
                <w:szCs w:val="18"/>
              </w:rPr>
            </w:pPr>
            <w:r w:rsidRPr="00066F5F">
              <w:rPr>
                <w:rFonts w:ascii="Tahoma" w:hAnsi="Tahoma" w:cs="Tahoma"/>
                <w:b/>
                <w:sz w:val="18"/>
                <w:szCs w:val="18"/>
              </w:rPr>
              <w:t>Potência (MW)</w:t>
            </w:r>
          </w:p>
        </w:tc>
        <w:tc>
          <w:tcPr>
            <w:tcW w:w="2339" w:type="dxa"/>
            <w:tcBorders>
              <w:top w:val="single" w:sz="6" w:space="0" w:color="auto"/>
              <w:left w:val="nil"/>
              <w:bottom w:val="single" w:sz="2" w:space="0" w:color="000000"/>
              <w:right w:val="nil"/>
            </w:tcBorders>
            <w:shd w:val="clear" w:color="C0C0C0" w:fill="FFC000"/>
            <w:vAlign w:val="center"/>
          </w:tcPr>
          <w:p w:rsidR="00466A93" w:rsidRPr="00066F5F" w:rsidRDefault="00466A93" w:rsidP="00935B45">
            <w:pPr>
              <w:ind w:left="480"/>
              <w:jc w:val="center"/>
              <w:rPr>
                <w:rFonts w:ascii="Tahoma" w:hAnsi="Tahoma" w:cs="Tahoma"/>
                <w:b/>
                <w:sz w:val="18"/>
                <w:szCs w:val="18"/>
              </w:rPr>
            </w:pPr>
            <w:r w:rsidRPr="00066F5F">
              <w:rPr>
                <w:rFonts w:ascii="Tahoma" w:hAnsi="Tahoma" w:cs="Tahoma"/>
                <w:b/>
                <w:sz w:val="18"/>
                <w:szCs w:val="18"/>
              </w:rPr>
              <w:t>TEIF (p.u.)</w:t>
            </w:r>
          </w:p>
        </w:tc>
        <w:tc>
          <w:tcPr>
            <w:tcW w:w="2339" w:type="dxa"/>
            <w:tcBorders>
              <w:top w:val="single" w:sz="6" w:space="0" w:color="auto"/>
              <w:left w:val="nil"/>
              <w:bottom w:val="single" w:sz="2" w:space="0" w:color="000000"/>
              <w:right w:val="nil"/>
            </w:tcBorders>
            <w:shd w:val="clear" w:color="C0C0C0" w:fill="FFC000"/>
            <w:vAlign w:val="center"/>
          </w:tcPr>
          <w:p w:rsidR="00466A93" w:rsidRPr="00066F5F" w:rsidRDefault="00466A93" w:rsidP="00935B45">
            <w:pPr>
              <w:ind w:left="480"/>
              <w:jc w:val="center"/>
              <w:rPr>
                <w:rFonts w:ascii="Tahoma" w:hAnsi="Tahoma" w:cs="Tahoma"/>
                <w:b/>
                <w:sz w:val="18"/>
                <w:szCs w:val="18"/>
              </w:rPr>
            </w:pPr>
            <w:r w:rsidRPr="00066F5F">
              <w:rPr>
                <w:rFonts w:ascii="Tahoma" w:hAnsi="Tahoma" w:cs="Tahoma"/>
                <w:b/>
                <w:sz w:val="18"/>
                <w:szCs w:val="18"/>
              </w:rPr>
              <w:t>IP (p.u.)</w:t>
            </w:r>
          </w:p>
        </w:tc>
      </w:tr>
      <w:tr w:rsidR="00AA683E" w:rsidRPr="00066F5F" w:rsidTr="00935B45">
        <w:trPr>
          <w:trHeight w:hRule="exact" w:val="284"/>
          <w:jc w:val="center"/>
        </w:trPr>
        <w:tc>
          <w:tcPr>
            <w:tcW w:w="2339" w:type="dxa"/>
            <w:tcBorders>
              <w:top w:val="single" w:sz="2" w:space="0" w:color="000000"/>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10 – 29</w:t>
            </w:r>
          </w:p>
        </w:tc>
        <w:tc>
          <w:tcPr>
            <w:tcW w:w="2339" w:type="dxa"/>
            <w:tcBorders>
              <w:top w:val="single" w:sz="2" w:space="0" w:color="000000"/>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0,02333</w:t>
            </w:r>
          </w:p>
        </w:tc>
        <w:tc>
          <w:tcPr>
            <w:tcW w:w="2339" w:type="dxa"/>
            <w:tcBorders>
              <w:top w:val="single" w:sz="2" w:space="0" w:color="000000"/>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0,06861</w:t>
            </w:r>
          </w:p>
        </w:tc>
      </w:tr>
      <w:tr w:rsidR="00AA683E" w:rsidRPr="00066F5F" w:rsidTr="00935B45">
        <w:trPr>
          <w:trHeight w:hRule="exact" w:val="284"/>
          <w:jc w:val="center"/>
        </w:trPr>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30 – 59</w:t>
            </w:r>
          </w:p>
        </w:tc>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0,01672</w:t>
            </w:r>
          </w:p>
        </w:tc>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0,05403</w:t>
            </w:r>
          </w:p>
        </w:tc>
      </w:tr>
      <w:tr w:rsidR="00AA683E" w:rsidRPr="00066F5F" w:rsidTr="00935B45">
        <w:trPr>
          <w:trHeight w:hRule="exact" w:val="284"/>
          <w:jc w:val="center"/>
        </w:trPr>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60 – 199</w:t>
            </w:r>
          </w:p>
        </w:tc>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0,02533</w:t>
            </w:r>
          </w:p>
        </w:tc>
        <w:tc>
          <w:tcPr>
            <w:tcW w:w="2339" w:type="dxa"/>
            <w:tcBorders>
              <w:top w:val="single" w:sz="4" w:space="0" w:color="999999"/>
              <w:left w:val="nil"/>
              <w:bottom w:val="single" w:sz="4" w:space="0" w:color="999999"/>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0,08091</w:t>
            </w:r>
          </w:p>
        </w:tc>
      </w:tr>
      <w:tr w:rsidR="00AA683E" w:rsidRPr="00066F5F" w:rsidTr="00935B45">
        <w:trPr>
          <w:trHeight w:hRule="exact" w:val="284"/>
          <w:jc w:val="center"/>
        </w:trPr>
        <w:tc>
          <w:tcPr>
            <w:tcW w:w="2339" w:type="dxa"/>
            <w:tcBorders>
              <w:top w:val="single" w:sz="4" w:space="0" w:color="999999"/>
              <w:left w:val="nil"/>
              <w:bottom w:val="single" w:sz="4" w:space="0" w:color="auto"/>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200 – 499</w:t>
            </w:r>
          </w:p>
        </w:tc>
        <w:tc>
          <w:tcPr>
            <w:tcW w:w="2339" w:type="dxa"/>
            <w:tcBorders>
              <w:top w:val="single" w:sz="4" w:space="0" w:color="999999"/>
              <w:left w:val="nil"/>
              <w:bottom w:val="single" w:sz="4" w:space="0" w:color="auto"/>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0,02917</w:t>
            </w:r>
          </w:p>
        </w:tc>
        <w:tc>
          <w:tcPr>
            <w:tcW w:w="2339" w:type="dxa"/>
            <w:tcBorders>
              <w:top w:val="single" w:sz="4" w:space="0" w:color="999999"/>
              <w:left w:val="nil"/>
              <w:bottom w:val="single" w:sz="4" w:space="0" w:color="auto"/>
              <w:right w:val="nil"/>
            </w:tcBorders>
            <w:vAlign w:val="center"/>
          </w:tcPr>
          <w:p w:rsidR="00466A93" w:rsidRPr="00066F5F" w:rsidRDefault="00466A93" w:rsidP="00935B45">
            <w:pPr>
              <w:ind w:left="480"/>
              <w:jc w:val="center"/>
              <w:rPr>
                <w:rFonts w:ascii="Tahoma" w:hAnsi="Tahoma" w:cs="Tahoma"/>
                <w:sz w:val="18"/>
                <w:szCs w:val="18"/>
              </w:rPr>
            </w:pPr>
            <w:r w:rsidRPr="00066F5F">
              <w:rPr>
                <w:rFonts w:ascii="Tahoma" w:hAnsi="Tahoma" w:cs="Tahoma"/>
                <w:sz w:val="18"/>
                <w:szCs w:val="18"/>
              </w:rPr>
              <w:t>0,12122</w:t>
            </w:r>
          </w:p>
        </w:tc>
      </w:tr>
    </w:tbl>
    <w:p w:rsidR="001035F4" w:rsidRPr="00066F5F" w:rsidRDefault="00466A93" w:rsidP="001035F4">
      <w:pPr>
        <w:pStyle w:val="CorpodoTexto"/>
      </w:pPr>
      <w:r w:rsidRPr="00066F5F">
        <w:t>O valor de potência referido na tabela do BRACIER corresponde à potência unitária da UHE</w:t>
      </w:r>
      <w:r w:rsidR="00183FAC">
        <w:t>.</w:t>
      </w:r>
      <w:r w:rsidRPr="00066F5F">
        <w:t xml:space="preserve"> </w:t>
      </w:r>
      <w:r w:rsidR="00183FAC">
        <w:t>D</w:t>
      </w:r>
      <w:r w:rsidRPr="00066F5F">
        <w:t xml:space="preserve">esta forma, </w:t>
      </w:r>
      <w:r w:rsidR="00183FAC">
        <w:t xml:space="preserve">para </w:t>
      </w:r>
      <w:r w:rsidRPr="00066F5F">
        <w:t>usinas que apresentam mais de um conjunto de máquinas com potências unitárias em diferentes faixas da tabela acima, utilizou-se a média dos índices ponderada pela potência total de cada conjunto.</w:t>
      </w:r>
      <w:r w:rsidR="00202CE0" w:rsidRPr="00066F5F">
        <w:t xml:space="preserve"> Para a UHE Itaipu foi adotado o valor de IP de 10%, que corresponde ao compromisso contratual de manter sempre duas unidades paradas (uma do lado brasileiro e outra do lado paraguaio)</w:t>
      </w:r>
      <w:r w:rsidR="001035F4" w:rsidRPr="00066F5F">
        <w:t xml:space="preserve"> e TEIF igual a 0,21%.</w:t>
      </w:r>
    </w:p>
    <w:p w:rsidR="00066F5F" w:rsidRDefault="00466A93" w:rsidP="00466A93">
      <w:pPr>
        <w:pStyle w:val="CorpodoTexto"/>
      </w:pPr>
      <w:r w:rsidRPr="00066F5F">
        <w:t>•</w:t>
      </w:r>
      <w:r w:rsidRPr="00066F5F">
        <w:tab/>
        <w:t>Topologia: 4 subsistemas interligados – Sudeste/Centro-Oeste/Acre/Rondônia, Sul, Nordeste e Norte/Mac/Man/Belo Monte (vide esquema a seguir).</w:t>
      </w:r>
    </w:p>
    <w:p w:rsidR="00066F5F" w:rsidRDefault="00066F5F">
      <w:pPr>
        <w:rPr>
          <w:rFonts w:ascii="Tahoma" w:hAnsi="Tahoma" w:cs="Tahoma"/>
          <w:sz w:val="22"/>
        </w:rPr>
      </w:pPr>
      <w:r>
        <w:br w:type="page"/>
      </w:r>
    </w:p>
    <w:p w:rsidR="00466A93" w:rsidRPr="00066F5F" w:rsidRDefault="00466A93" w:rsidP="00466A93">
      <w:pPr>
        <w:pStyle w:val="CorpodoTexto"/>
      </w:pPr>
    </w:p>
    <w:p w:rsidR="00FA281C" w:rsidRPr="00066F5F" w:rsidRDefault="00466A93" w:rsidP="00FA281C">
      <w:pPr>
        <w:pStyle w:val="CorpodoTexto"/>
      </w:pPr>
      <w:r w:rsidRPr="00066F5F">
        <w:t>•</w:t>
      </w:r>
      <w:r w:rsidRPr="00066F5F">
        <w:tab/>
        <w:t>Limites de transmissão entre subsistemas: Para a definição dos limites de intercâmbio, foi levada em consideração a entrada em operação de todas as máquinas da UHE Belo Monte. Portanto, tomou-se como base o ano de 2020 do PDE 202</w:t>
      </w:r>
      <w:r w:rsidR="00020686" w:rsidRPr="00066F5F">
        <w:t>1</w:t>
      </w:r>
      <w:r w:rsidRPr="00066F5F">
        <w:t>.</w:t>
      </w:r>
    </w:p>
    <w:p w:rsidR="00466A93" w:rsidRPr="00066F5F" w:rsidRDefault="00466A93" w:rsidP="00466A93">
      <w:pPr>
        <w:pStyle w:val="CorpodoTexto"/>
      </w:pPr>
      <w:r w:rsidRPr="00066F5F">
        <w:t>São apresentados a seguir os limites térmicos das interligações consideradas no estudo.</w:t>
      </w:r>
    </w:p>
    <w:p w:rsidR="00466A93" w:rsidRPr="00066F5F" w:rsidRDefault="00466A93" w:rsidP="00466A93">
      <w:pPr>
        <w:pStyle w:val="Titulo-TabeGraf"/>
        <w:ind w:left="431"/>
        <w:jc w:val="center"/>
      </w:pPr>
      <w:bookmarkStart w:id="15" w:name="_Toc299118639"/>
      <w:r w:rsidRPr="00066F5F">
        <w:t xml:space="preserve">Figura </w:t>
      </w:r>
      <w:r w:rsidR="00DA7738">
        <w:fldChar w:fldCharType="begin"/>
      </w:r>
      <w:r w:rsidR="0049151C">
        <w:instrText xml:space="preserve"> SEQ Figura \* ARABIC </w:instrText>
      </w:r>
      <w:r w:rsidR="00DA7738">
        <w:fldChar w:fldCharType="separate"/>
      </w:r>
      <w:r w:rsidR="00E771B0" w:rsidRPr="00066F5F">
        <w:rPr>
          <w:noProof/>
        </w:rPr>
        <w:t>1</w:t>
      </w:r>
      <w:r w:rsidR="00DA7738">
        <w:rPr>
          <w:noProof/>
        </w:rPr>
        <w:fldChar w:fldCharType="end"/>
      </w:r>
      <w:r w:rsidRPr="00066F5F">
        <w:t xml:space="preserve"> – Limites de Transmissão entre subsistemas</w:t>
      </w:r>
      <w:bookmarkEnd w:id="15"/>
    </w:p>
    <w:p w:rsidR="00020686" w:rsidRPr="00066F5F" w:rsidRDefault="00020686" w:rsidP="00466A93">
      <w:pPr>
        <w:pStyle w:val="Titulo-TabeGraf"/>
        <w:ind w:left="431"/>
        <w:jc w:val="center"/>
      </w:pPr>
      <w:r w:rsidRPr="00066F5F">
        <w:rPr>
          <w:noProof/>
        </w:rPr>
        <w:drawing>
          <wp:inline distT="0" distB="0" distL="0" distR="0">
            <wp:extent cx="3273322" cy="2311879"/>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3322" cy="2311879"/>
                    </a:xfrm>
                    <a:prstGeom prst="rect">
                      <a:avLst/>
                    </a:prstGeom>
                    <a:noFill/>
                    <a:ln>
                      <a:noFill/>
                    </a:ln>
                  </pic:spPr>
                </pic:pic>
              </a:graphicData>
            </a:graphic>
          </wp:inline>
        </w:drawing>
      </w:r>
    </w:p>
    <w:p w:rsidR="00466A93" w:rsidRPr="00066F5F" w:rsidRDefault="00466A93" w:rsidP="00466A93">
      <w:pPr>
        <w:pStyle w:val="Titulo-TabeGraf"/>
        <w:spacing w:before="240" w:after="240" w:line="360" w:lineRule="exact"/>
        <w:jc w:val="both"/>
        <w:rPr>
          <w:b w:val="0"/>
          <w:sz w:val="22"/>
        </w:rPr>
      </w:pPr>
      <w:r w:rsidRPr="00066F5F">
        <w:rPr>
          <w:b w:val="0"/>
          <w:sz w:val="22"/>
        </w:rPr>
        <w:t xml:space="preserve">A partir </w:t>
      </w:r>
      <w:r w:rsidR="007A00E8">
        <w:rPr>
          <w:b w:val="0"/>
          <w:sz w:val="22"/>
        </w:rPr>
        <w:t xml:space="preserve">dos agrupamentos de intercâmbio estabelecidos no </w:t>
      </w:r>
      <w:r w:rsidRPr="00066F5F">
        <w:rPr>
          <w:b w:val="0"/>
          <w:sz w:val="22"/>
        </w:rPr>
        <w:t>PDE</w:t>
      </w:r>
      <w:r w:rsidR="007A00E8">
        <w:rPr>
          <w:b w:val="0"/>
          <w:sz w:val="22"/>
        </w:rPr>
        <w:t xml:space="preserve"> 2021</w:t>
      </w:r>
      <w:r w:rsidRPr="00066F5F">
        <w:rPr>
          <w:b w:val="0"/>
          <w:sz w:val="22"/>
        </w:rPr>
        <w:t xml:space="preserve"> foram calculadas </w:t>
      </w:r>
      <w:r w:rsidR="00BA5CCA">
        <w:rPr>
          <w:b w:val="0"/>
          <w:sz w:val="22"/>
        </w:rPr>
        <w:t xml:space="preserve">as </w:t>
      </w:r>
      <w:r w:rsidRPr="00066F5F">
        <w:rPr>
          <w:b w:val="0"/>
          <w:sz w:val="22"/>
        </w:rPr>
        <w:t xml:space="preserve">restrições mensais equivalentes a </w:t>
      </w:r>
      <w:proofErr w:type="gramStart"/>
      <w:r w:rsidRPr="00066F5F">
        <w:rPr>
          <w:b w:val="0"/>
          <w:sz w:val="22"/>
        </w:rPr>
        <w:t>1</w:t>
      </w:r>
      <w:proofErr w:type="gramEnd"/>
      <w:r w:rsidRPr="00066F5F">
        <w:rPr>
          <w:b w:val="0"/>
          <w:sz w:val="22"/>
        </w:rPr>
        <w:t xml:space="preserve"> patamar de mercado. Os valores são apresentados a seguir:</w:t>
      </w:r>
    </w:p>
    <w:p w:rsidR="00FA281C" w:rsidRPr="00066F5F" w:rsidRDefault="00466A93" w:rsidP="001035F4">
      <w:pPr>
        <w:pStyle w:val="Titulo-TabeGraf"/>
        <w:ind w:left="431"/>
        <w:jc w:val="center"/>
      </w:pPr>
      <w:bookmarkStart w:id="16" w:name="_Toc292728521"/>
      <w:bookmarkStart w:id="17" w:name="_Toc297907063"/>
      <w:bookmarkStart w:id="18" w:name="_Toc299118752"/>
      <w:r w:rsidRPr="00066F5F">
        <w:t xml:space="preserve">Tabela </w:t>
      </w:r>
      <w:r w:rsidR="00DA7738">
        <w:fldChar w:fldCharType="begin"/>
      </w:r>
      <w:r w:rsidR="0049151C">
        <w:instrText xml:space="preserve"> SEQ Tabela \* ARABIC </w:instrText>
      </w:r>
      <w:r w:rsidR="00DA7738">
        <w:fldChar w:fldCharType="separate"/>
      </w:r>
      <w:r w:rsidR="00E771B0" w:rsidRPr="00066F5F">
        <w:rPr>
          <w:noProof/>
        </w:rPr>
        <w:t>3</w:t>
      </w:r>
      <w:r w:rsidR="00DA7738">
        <w:rPr>
          <w:noProof/>
        </w:rPr>
        <w:fldChar w:fldCharType="end"/>
      </w:r>
      <w:r w:rsidRPr="00066F5F">
        <w:t xml:space="preserve"> – </w:t>
      </w:r>
      <w:bookmarkEnd w:id="16"/>
      <w:bookmarkEnd w:id="17"/>
      <w:bookmarkEnd w:id="18"/>
      <w:r w:rsidR="001035F4" w:rsidRPr="00066F5F">
        <w:t>Restrições mensais de agrupamento de intercâmbio</w:t>
      </w:r>
    </w:p>
    <w:tbl>
      <w:tblPr>
        <w:tblW w:w="5529" w:type="dxa"/>
        <w:jc w:val="center"/>
        <w:tblCellMar>
          <w:left w:w="70" w:type="dxa"/>
          <w:right w:w="70" w:type="dxa"/>
        </w:tblCellMar>
        <w:tblLook w:val="04A0"/>
      </w:tblPr>
      <w:tblGrid>
        <w:gridCol w:w="1842"/>
        <w:gridCol w:w="2268"/>
        <w:gridCol w:w="1419"/>
      </w:tblGrid>
      <w:tr w:rsidR="00AA683E" w:rsidRPr="00066F5F" w:rsidTr="00020686">
        <w:trPr>
          <w:trHeight w:val="227"/>
          <w:tblHeader/>
          <w:jc w:val="center"/>
        </w:trPr>
        <w:tc>
          <w:tcPr>
            <w:tcW w:w="1842" w:type="dxa"/>
            <w:tcBorders>
              <w:top w:val="single" w:sz="8" w:space="0" w:color="auto"/>
              <w:left w:val="nil"/>
              <w:bottom w:val="single" w:sz="8" w:space="0" w:color="auto"/>
              <w:right w:val="nil"/>
            </w:tcBorders>
            <w:shd w:val="clear" w:color="000000" w:fill="FFC000"/>
            <w:noWrap/>
            <w:vAlign w:val="center"/>
            <w:hideMark/>
          </w:tcPr>
          <w:p w:rsidR="00020686" w:rsidRPr="00066F5F" w:rsidRDefault="00020686" w:rsidP="00DA1B3A">
            <w:pPr>
              <w:rPr>
                <w:rFonts w:ascii="Tahoma" w:hAnsi="Tahoma" w:cs="Tahoma"/>
                <w:b/>
                <w:bCs/>
                <w:sz w:val="16"/>
                <w:szCs w:val="16"/>
              </w:rPr>
            </w:pPr>
            <w:r w:rsidRPr="00066F5F">
              <w:rPr>
                <w:rFonts w:ascii="Tahoma" w:hAnsi="Tahoma" w:cs="Tahoma"/>
                <w:b/>
                <w:bCs/>
                <w:sz w:val="16"/>
                <w:szCs w:val="16"/>
              </w:rPr>
              <w:t>Agrupamento</w:t>
            </w:r>
          </w:p>
        </w:tc>
        <w:tc>
          <w:tcPr>
            <w:tcW w:w="2268" w:type="dxa"/>
            <w:tcBorders>
              <w:top w:val="single" w:sz="8" w:space="0" w:color="auto"/>
              <w:left w:val="nil"/>
              <w:bottom w:val="single" w:sz="8" w:space="0" w:color="auto"/>
              <w:right w:val="nil"/>
            </w:tcBorders>
            <w:shd w:val="clear" w:color="000000" w:fill="FFC000"/>
            <w:noWrap/>
            <w:vAlign w:val="center"/>
            <w:hideMark/>
          </w:tcPr>
          <w:p w:rsidR="00020686" w:rsidRPr="00066F5F" w:rsidRDefault="00020686" w:rsidP="00DA1B3A">
            <w:pPr>
              <w:jc w:val="center"/>
              <w:rPr>
                <w:rFonts w:ascii="Tahoma" w:hAnsi="Tahoma" w:cs="Tahoma"/>
                <w:b/>
                <w:bCs/>
                <w:sz w:val="16"/>
                <w:szCs w:val="16"/>
              </w:rPr>
            </w:pPr>
            <w:r w:rsidRPr="00066F5F">
              <w:rPr>
                <w:rFonts w:ascii="Tahoma" w:hAnsi="Tahoma" w:cs="Tahoma"/>
                <w:b/>
                <w:bCs/>
                <w:sz w:val="16"/>
                <w:szCs w:val="16"/>
              </w:rPr>
              <w:t>Período</w:t>
            </w:r>
          </w:p>
        </w:tc>
        <w:tc>
          <w:tcPr>
            <w:tcW w:w="1419" w:type="dxa"/>
            <w:tcBorders>
              <w:top w:val="single" w:sz="8" w:space="0" w:color="auto"/>
              <w:left w:val="nil"/>
              <w:bottom w:val="single" w:sz="8" w:space="0" w:color="auto"/>
              <w:right w:val="nil"/>
            </w:tcBorders>
            <w:shd w:val="clear" w:color="000000" w:fill="FFC000"/>
            <w:noWrap/>
            <w:vAlign w:val="center"/>
            <w:hideMark/>
          </w:tcPr>
          <w:p w:rsidR="00020686" w:rsidRPr="00066F5F" w:rsidRDefault="00020686" w:rsidP="00DA1B3A">
            <w:pPr>
              <w:jc w:val="center"/>
              <w:rPr>
                <w:rFonts w:ascii="Tahoma" w:hAnsi="Tahoma" w:cs="Tahoma"/>
                <w:b/>
                <w:bCs/>
                <w:sz w:val="16"/>
                <w:szCs w:val="16"/>
              </w:rPr>
            </w:pPr>
            <w:r w:rsidRPr="00066F5F">
              <w:rPr>
                <w:rFonts w:ascii="Tahoma" w:hAnsi="Tahoma" w:cs="Tahoma"/>
                <w:b/>
                <w:bCs/>
                <w:sz w:val="16"/>
                <w:szCs w:val="16"/>
              </w:rPr>
              <w:t>Limite</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RECEBIMENTO NE</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janeiro a junho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9.350</w:t>
            </w:r>
          </w:p>
        </w:tc>
      </w:tr>
      <w:tr w:rsidR="00AA683E" w:rsidRPr="00066F5F" w:rsidTr="00020686">
        <w:trPr>
          <w:trHeight w:val="227"/>
          <w:jc w:val="center"/>
        </w:trPr>
        <w:tc>
          <w:tcPr>
            <w:tcW w:w="1842"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julho a dezembro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6.831</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EXPORTACAO NE</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janeiro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6.101</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fevereiro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6.100</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março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6.103</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abril a maio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6.101</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junho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6.103</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julho a agosto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6.099</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setembro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6.103</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outubro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6.101</w:t>
            </w:r>
          </w:p>
        </w:tc>
      </w:tr>
      <w:tr w:rsidR="00AA683E" w:rsidRPr="00066F5F" w:rsidTr="00020686">
        <w:trPr>
          <w:trHeight w:val="227"/>
          <w:jc w:val="center"/>
        </w:trPr>
        <w:tc>
          <w:tcPr>
            <w:tcW w:w="1842"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novembro a dezembro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6.103</w:t>
            </w:r>
          </w:p>
        </w:tc>
      </w:tr>
      <w:tr w:rsidR="00AA683E" w:rsidRPr="00066F5F" w:rsidTr="00020686">
        <w:trPr>
          <w:trHeight w:val="227"/>
          <w:jc w:val="center"/>
        </w:trPr>
        <w:tc>
          <w:tcPr>
            <w:tcW w:w="1842" w:type="dxa"/>
            <w:tcBorders>
              <w:top w:val="nil"/>
              <w:left w:val="nil"/>
              <w:bottom w:val="single" w:sz="8" w:space="0" w:color="999999"/>
              <w:right w:val="nil"/>
            </w:tcBorders>
            <w:shd w:val="clear" w:color="000000" w:fill="FFFFFF"/>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EXPORTACAO SE-NNE</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janeiro a dezembro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9.458</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EXPORTACAO NNE-SE</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janeiro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12.375</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fevereiro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12.372</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março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12.380</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abril</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12.376</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maio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12.375</w:t>
            </w:r>
          </w:p>
        </w:tc>
      </w:tr>
      <w:tr w:rsidR="00AA683E" w:rsidRPr="00066F5F" w:rsidTr="00020686">
        <w:trPr>
          <w:trHeight w:val="227"/>
          <w:jc w:val="center"/>
        </w:trPr>
        <w:tc>
          <w:tcPr>
            <w:tcW w:w="1842" w:type="dxa"/>
            <w:tcBorders>
              <w:top w:val="nil"/>
              <w:left w:val="nil"/>
              <w:bottom w:val="nil"/>
              <w:right w:val="nil"/>
            </w:tcBorders>
            <w:shd w:val="clear" w:color="000000" w:fill="FFFFFF"/>
            <w:noWrap/>
            <w:vAlign w:val="center"/>
            <w:hideMark/>
          </w:tcPr>
          <w:p w:rsidR="00020686" w:rsidRPr="00066F5F" w:rsidRDefault="00020686" w:rsidP="00DA1B3A">
            <w:pP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junho</w:t>
            </w:r>
          </w:p>
        </w:tc>
        <w:tc>
          <w:tcPr>
            <w:tcW w:w="1419" w:type="dxa"/>
            <w:tcBorders>
              <w:top w:val="nil"/>
              <w:left w:val="nil"/>
              <w:bottom w:val="single" w:sz="8" w:space="0" w:color="999999"/>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12.381</w:t>
            </w:r>
          </w:p>
        </w:tc>
      </w:tr>
      <w:tr w:rsidR="00AA683E" w:rsidRPr="00066F5F" w:rsidTr="00020686">
        <w:trPr>
          <w:trHeight w:val="227"/>
          <w:jc w:val="center"/>
        </w:trPr>
        <w:tc>
          <w:tcPr>
            <w:tcW w:w="1842" w:type="dxa"/>
            <w:tcBorders>
              <w:top w:val="nil"/>
              <w:left w:val="nil"/>
              <w:bottom w:val="single" w:sz="8" w:space="0" w:color="auto"/>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 </w:t>
            </w:r>
          </w:p>
        </w:tc>
        <w:tc>
          <w:tcPr>
            <w:tcW w:w="2268" w:type="dxa"/>
            <w:tcBorders>
              <w:top w:val="nil"/>
              <w:left w:val="nil"/>
              <w:bottom w:val="single" w:sz="8" w:space="0" w:color="auto"/>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julho a dezembro</w:t>
            </w:r>
          </w:p>
        </w:tc>
        <w:tc>
          <w:tcPr>
            <w:tcW w:w="1419" w:type="dxa"/>
            <w:tcBorders>
              <w:top w:val="nil"/>
              <w:left w:val="nil"/>
              <w:bottom w:val="single" w:sz="8" w:space="0" w:color="auto"/>
              <w:right w:val="nil"/>
            </w:tcBorders>
            <w:shd w:val="clear" w:color="000000" w:fill="FFFFFF"/>
            <w:vAlign w:val="center"/>
            <w:hideMark/>
          </w:tcPr>
          <w:p w:rsidR="00020686" w:rsidRPr="00066F5F" w:rsidRDefault="00020686" w:rsidP="00DA1B3A">
            <w:pPr>
              <w:jc w:val="center"/>
              <w:rPr>
                <w:rFonts w:ascii="Tahoma" w:hAnsi="Tahoma" w:cs="Tahoma"/>
                <w:sz w:val="16"/>
                <w:szCs w:val="16"/>
              </w:rPr>
            </w:pPr>
            <w:r w:rsidRPr="00066F5F">
              <w:rPr>
                <w:rFonts w:ascii="Tahoma" w:hAnsi="Tahoma" w:cs="Tahoma"/>
                <w:sz w:val="16"/>
                <w:szCs w:val="16"/>
              </w:rPr>
              <w:t>14.586</w:t>
            </w:r>
          </w:p>
        </w:tc>
      </w:tr>
    </w:tbl>
    <w:p w:rsidR="00466A93" w:rsidRPr="00066F5F" w:rsidRDefault="00466A93" w:rsidP="00466A93">
      <w:pPr>
        <w:pStyle w:val="Titulo-TabeGraf"/>
        <w:rPr>
          <w:b w:val="0"/>
          <w:sz w:val="22"/>
        </w:rPr>
      </w:pPr>
      <w:r w:rsidRPr="00066F5F">
        <w:rPr>
          <w:b w:val="0"/>
          <w:sz w:val="22"/>
        </w:rPr>
        <w:lastRenderedPageBreak/>
        <w:t>Para os períodos estático</w:t>
      </w:r>
      <w:r w:rsidR="00183FAC">
        <w:rPr>
          <w:b w:val="0"/>
          <w:sz w:val="22"/>
        </w:rPr>
        <w:t>s</w:t>
      </w:r>
      <w:r w:rsidRPr="00066F5F">
        <w:rPr>
          <w:b w:val="0"/>
          <w:sz w:val="22"/>
        </w:rPr>
        <w:t xml:space="preserve"> inicial e final foram considerados </w:t>
      </w:r>
      <w:r w:rsidR="00020686" w:rsidRPr="00066F5F">
        <w:rPr>
          <w:b w:val="0"/>
          <w:sz w:val="22"/>
        </w:rPr>
        <w:t>os limites médios anuais referentes a cada interligação</w:t>
      </w:r>
      <w:r w:rsidRPr="00066F5F">
        <w:rPr>
          <w:b w:val="0"/>
          <w:sz w:val="22"/>
        </w:rPr>
        <w:t>.</w:t>
      </w:r>
    </w:p>
    <w:p w:rsidR="00466A93" w:rsidRPr="00066F5F" w:rsidRDefault="00466A93" w:rsidP="00466A93">
      <w:pPr>
        <w:pStyle w:val="CorpodoTexto"/>
      </w:pPr>
      <w:r w:rsidRPr="00066F5F">
        <w:t>•</w:t>
      </w:r>
      <w:r w:rsidRPr="00066F5F">
        <w:tab/>
        <w:t>Perdas nas interligações: Consideradas incorporadas ao mercado atendido.</w:t>
      </w:r>
    </w:p>
    <w:p w:rsidR="00466A93" w:rsidRPr="00066F5F" w:rsidRDefault="00466A93" w:rsidP="00466A93">
      <w:pPr>
        <w:pStyle w:val="CorpodoTexto"/>
      </w:pPr>
      <w:r w:rsidRPr="00066F5F">
        <w:t>•</w:t>
      </w:r>
      <w:r w:rsidRPr="00066F5F">
        <w:tab/>
        <w:t>Consumo próprio (consumo interno): Não considerado.</w:t>
      </w:r>
    </w:p>
    <w:p w:rsidR="00466A93" w:rsidRPr="00066F5F" w:rsidRDefault="00466A93" w:rsidP="00466A93">
      <w:pPr>
        <w:pStyle w:val="CorpodoTexto"/>
      </w:pPr>
      <w:r w:rsidRPr="00066F5F">
        <w:t>•</w:t>
      </w:r>
      <w:r w:rsidRPr="00066F5F">
        <w:tab/>
        <w:t xml:space="preserve">Restrições Operativas Hidráulicas: para as usinas em operação foram consideradas as restrições operativas de caráter </w:t>
      </w:r>
      <w:proofErr w:type="gramStart"/>
      <w:r w:rsidRPr="00066F5F">
        <w:t>estrutural recomendadas</w:t>
      </w:r>
      <w:proofErr w:type="gramEnd"/>
      <w:r w:rsidRPr="00066F5F">
        <w:t xml:space="preserve"> pelo ONS, segundo </w:t>
      </w:r>
      <w:r w:rsidR="00020686" w:rsidRPr="00066F5F">
        <w:t>o Relatório DPP-REL-0013/2013 “Inventário das restrições operativas hidráulicas dos aproveitamentos hidrelétricos - Revisão-</w:t>
      </w:r>
      <w:r w:rsidR="0087582E" w:rsidRPr="00066F5F">
        <w:t>2</w:t>
      </w:r>
      <w:r w:rsidR="00020686" w:rsidRPr="00066F5F">
        <w:t xml:space="preserve"> de 2013”.</w:t>
      </w:r>
      <w:r w:rsidRPr="00066F5F">
        <w:t xml:space="preserve"> </w:t>
      </w:r>
    </w:p>
    <w:p w:rsidR="00466A93" w:rsidRPr="00066F5F" w:rsidRDefault="00466A93" w:rsidP="00466A93">
      <w:pPr>
        <w:pStyle w:val="CorpodoTexto"/>
      </w:pPr>
      <w:r w:rsidRPr="00066F5F">
        <w:t>•</w:t>
      </w:r>
      <w:r w:rsidRPr="00066F5F">
        <w:tab/>
        <w:t>Histórico de vazões: Os históricos de vazões das usinas constantes na configuração foram estendidos até o ano de 20</w:t>
      </w:r>
      <w:r w:rsidR="004B310B" w:rsidRPr="00066F5F">
        <w:t>1</w:t>
      </w:r>
      <w:r w:rsidR="00020686" w:rsidRPr="00066F5F">
        <w:t>1</w:t>
      </w:r>
      <w:r w:rsidRPr="00066F5F">
        <w:t xml:space="preserve"> de acordo com o Relatório ONS RE-3/2</w:t>
      </w:r>
      <w:r w:rsidR="00020686" w:rsidRPr="00066F5F">
        <w:t>19</w:t>
      </w:r>
      <w:r w:rsidRPr="00066F5F">
        <w:t>/201</w:t>
      </w:r>
      <w:r w:rsidR="00020686" w:rsidRPr="00066F5F">
        <w:t>2</w:t>
      </w:r>
      <w:r w:rsidR="004B310B" w:rsidRPr="00066F5F">
        <w:t xml:space="preserve"> – </w:t>
      </w:r>
      <w:r w:rsidR="001035F4" w:rsidRPr="00066F5F">
        <w:t>Novembro / 201</w:t>
      </w:r>
      <w:r w:rsidR="00020686" w:rsidRPr="00066F5F">
        <w:t>2</w:t>
      </w:r>
      <w:r w:rsidR="001035F4" w:rsidRPr="00066F5F">
        <w:t xml:space="preserve"> – </w:t>
      </w:r>
      <w:r w:rsidR="004B310B" w:rsidRPr="00066F5F">
        <w:t>“Atualização das</w:t>
      </w:r>
      <w:r w:rsidRPr="00066F5F">
        <w:t xml:space="preserve"> séries históricas de vazões - Período 1931 a 20</w:t>
      </w:r>
      <w:r w:rsidR="004B310B" w:rsidRPr="00066F5F">
        <w:t>1</w:t>
      </w:r>
      <w:r w:rsidR="00020686" w:rsidRPr="00066F5F">
        <w:t>1</w:t>
      </w:r>
      <w:r w:rsidRPr="00066F5F">
        <w:t>”.</w:t>
      </w:r>
    </w:p>
    <w:p w:rsidR="00466A93" w:rsidRPr="00066F5F" w:rsidRDefault="00466A93" w:rsidP="00466A93">
      <w:pPr>
        <w:pStyle w:val="CorpodoTexto"/>
      </w:pPr>
      <w:r w:rsidRPr="00066F5F">
        <w:t>•</w:t>
      </w:r>
      <w:r w:rsidRPr="00066F5F">
        <w:tab/>
        <w:t>Usos Consuntivos e vazões remanescentes: o uso consuntivo é modelado como retirada de água sem devolução, enquanto a vazão remanescente retorna a água desviada para a usina de jusante. Ambas estão sujeitas à penalização por não atendimento. Foram considerados os valores extrapolados para o ano de 201</w:t>
      </w:r>
      <w:r w:rsidR="00020686" w:rsidRPr="00066F5F">
        <w:t>8</w:t>
      </w:r>
      <w:r w:rsidRPr="00066F5F">
        <w:t xml:space="preserve"> a partir dos </w:t>
      </w:r>
      <w:r w:rsidR="0082093A" w:rsidRPr="00066F5F">
        <w:t xml:space="preserve">dados </w:t>
      </w:r>
      <w:r w:rsidRPr="00066F5F">
        <w:t>apresentados nas Declarações/Outorga de Reserva de Disponibilidade Hídrica</w:t>
      </w:r>
      <w:r w:rsidR="00E576FF" w:rsidRPr="00066F5F">
        <w:t xml:space="preserve"> e Notas Técnicas da ANA.</w:t>
      </w:r>
    </w:p>
    <w:p w:rsidR="00466A93" w:rsidRPr="00066F5F" w:rsidRDefault="00466A93" w:rsidP="00466A93">
      <w:pPr>
        <w:pStyle w:val="CorpodoTexto"/>
        <w:numPr>
          <w:ilvl w:val="0"/>
          <w:numId w:val="39"/>
        </w:numPr>
        <w:ind w:left="284" w:firstLine="0"/>
        <w:rPr>
          <w:szCs w:val="22"/>
        </w:rPr>
      </w:pPr>
      <w:r w:rsidRPr="00066F5F">
        <w:rPr>
          <w:szCs w:val="22"/>
        </w:rPr>
        <w:t>Configuração de Referência Inicial: composta pelo conjunto de usinas hidrelétricas e termelétricas em operação e todas as usinas que já possuem contrato de concessão ou ato de autorização. A seguir, algumas observações sobre a Configuração Hidrotérmica:</w:t>
      </w:r>
    </w:p>
    <w:p w:rsidR="00020686" w:rsidRPr="00066F5F" w:rsidRDefault="00466A93" w:rsidP="00B07BB3">
      <w:pPr>
        <w:pStyle w:val="CorpodoTexto"/>
        <w:numPr>
          <w:ilvl w:val="0"/>
          <w:numId w:val="49"/>
        </w:numPr>
        <w:rPr>
          <w:szCs w:val="22"/>
        </w:rPr>
      </w:pPr>
      <w:r w:rsidRPr="00066F5F">
        <w:rPr>
          <w:szCs w:val="22"/>
        </w:rPr>
        <w:t xml:space="preserve">Configuração de Referência Termelétrica: </w:t>
      </w:r>
      <w:r w:rsidR="00020686" w:rsidRPr="00066F5F">
        <w:rPr>
          <w:szCs w:val="22"/>
        </w:rPr>
        <w:t xml:space="preserve">é baseada na configuração termelétrica adotada para o </w:t>
      </w:r>
      <w:r w:rsidR="005517E1" w:rsidRPr="00066F5F">
        <w:rPr>
          <w:szCs w:val="22"/>
        </w:rPr>
        <w:t xml:space="preserve">1º </w:t>
      </w:r>
      <w:r w:rsidR="00020686" w:rsidRPr="00066F5F">
        <w:rPr>
          <w:szCs w:val="22"/>
        </w:rPr>
        <w:t>Leilão A-5 de 201</w:t>
      </w:r>
      <w:r w:rsidR="005517E1" w:rsidRPr="00066F5F">
        <w:rPr>
          <w:szCs w:val="22"/>
        </w:rPr>
        <w:t>3</w:t>
      </w:r>
      <w:r w:rsidR="00020686" w:rsidRPr="00066F5F">
        <w:rPr>
          <w:szCs w:val="22"/>
        </w:rPr>
        <w:t xml:space="preserve">. Na configuração, foram desconsideradas as usinas com autorização revogada, com suspensão de operação comercial ou sem previsão de entrada em operação de acordo com a reunião do DMSE de monitoramento da expansão da oferta de geração realizada em </w:t>
      </w:r>
      <w:r w:rsidR="005517E1" w:rsidRPr="00066F5F">
        <w:rPr>
          <w:szCs w:val="22"/>
        </w:rPr>
        <w:t>18</w:t>
      </w:r>
      <w:r w:rsidR="00020686" w:rsidRPr="00066F5F">
        <w:rPr>
          <w:szCs w:val="22"/>
        </w:rPr>
        <w:t>/0</w:t>
      </w:r>
      <w:r w:rsidR="005517E1" w:rsidRPr="00066F5F">
        <w:rPr>
          <w:szCs w:val="22"/>
        </w:rPr>
        <w:t>9</w:t>
      </w:r>
      <w:r w:rsidR="00020686" w:rsidRPr="00066F5F">
        <w:rPr>
          <w:szCs w:val="22"/>
        </w:rPr>
        <w:t xml:space="preserve">/2013. Foram consideradas as atualizações dos custos variáveis das usinas conforme PMO de </w:t>
      </w:r>
      <w:r w:rsidR="00E11355" w:rsidRPr="00066F5F">
        <w:rPr>
          <w:szCs w:val="22"/>
        </w:rPr>
        <w:t>outubro</w:t>
      </w:r>
      <w:r w:rsidR="00020686" w:rsidRPr="00066F5F">
        <w:rPr>
          <w:szCs w:val="22"/>
        </w:rPr>
        <w:t xml:space="preserve"> de 2013 do ONS. Para as usinas que venderam energia nos leilões por disponibilidade foram atualizadas as potências instaladas, em caso de alteração, mantendo-se </w:t>
      </w:r>
      <w:r w:rsidR="00E11355" w:rsidRPr="00066F5F">
        <w:rPr>
          <w:szCs w:val="22"/>
        </w:rPr>
        <w:t xml:space="preserve">a disponibilidade e, quando </w:t>
      </w:r>
      <w:r w:rsidR="00D01AE7" w:rsidRPr="00066F5F">
        <w:rPr>
          <w:szCs w:val="22"/>
        </w:rPr>
        <w:t>possível</w:t>
      </w:r>
      <w:r w:rsidR="00E11355" w:rsidRPr="00066F5F">
        <w:rPr>
          <w:szCs w:val="22"/>
        </w:rPr>
        <w:t xml:space="preserve">, </w:t>
      </w:r>
      <w:r w:rsidR="00020686" w:rsidRPr="00066F5F">
        <w:rPr>
          <w:szCs w:val="22"/>
        </w:rPr>
        <w:t>os demais parâmetros considerados nos respectivos cálculos de suas garantias físicas. Para as usinas com garantias físicas publicadas na Portaria MME</w:t>
      </w:r>
      <w:r w:rsidR="00B07BB3" w:rsidRPr="00066F5F">
        <w:rPr>
          <w:szCs w:val="22"/>
        </w:rPr>
        <w:t xml:space="preserve"> nº</w:t>
      </w:r>
      <w:r w:rsidR="00020686" w:rsidRPr="00066F5F">
        <w:rPr>
          <w:szCs w:val="22"/>
        </w:rPr>
        <w:t xml:space="preserve"> 303/2004, foram mantidos os dados básicos considerados naquela simulação de cálculo de garantia física, com atualização de potência, quando cabível. Para as usinas constantes no Termo de Compromisso entre Petrobras e ANEEL, foi considerada a modelagem de acordo com a Carta Compromisso firmada entre ANEEL e Petrobras, aprovada </w:t>
      </w:r>
      <w:r w:rsidR="00020686" w:rsidRPr="00066F5F">
        <w:rPr>
          <w:szCs w:val="22"/>
        </w:rPr>
        <w:lastRenderedPageBreak/>
        <w:t xml:space="preserve">através do Despacho ANEEL nº 4.988/2011, </w:t>
      </w:r>
      <w:r w:rsidR="00506D5C" w:rsidRPr="00066F5F">
        <w:rPr>
          <w:szCs w:val="22"/>
        </w:rPr>
        <w:t>contemplando</w:t>
      </w:r>
      <w:r w:rsidR="00020686" w:rsidRPr="00066F5F">
        <w:rPr>
          <w:szCs w:val="22"/>
        </w:rPr>
        <w:t xml:space="preserve"> a alteração registrada pelo Despacho ANEEL nº 553/2012</w:t>
      </w:r>
      <w:r w:rsidR="00506D5C" w:rsidRPr="00066F5F">
        <w:rPr>
          <w:szCs w:val="22"/>
        </w:rPr>
        <w:t xml:space="preserve"> e, ainda</w:t>
      </w:r>
      <w:r w:rsidR="00B07BB3" w:rsidRPr="00066F5F">
        <w:rPr>
          <w:szCs w:val="22"/>
        </w:rPr>
        <w:t>,</w:t>
      </w:r>
      <w:r w:rsidR="00EA25B3" w:rsidRPr="00066F5F">
        <w:rPr>
          <w:szCs w:val="22"/>
        </w:rPr>
        <w:t xml:space="preserve"> com as respectivas portarias de definição da garantia física </w:t>
      </w:r>
      <w:r w:rsidR="00671007" w:rsidRPr="00066F5F">
        <w:rPr>
          <w:szCs w:val="22"/>
        </w:rPr>
        <w:t>e informações do Ofício nº 191/2013-SRG/ANEEL.</w:t>
      </w:r>
    </w:p>
    <w:p w:rsidR="00466A93" w:rsidRPr="00066F5F" w:rsidRDefault="00466A93" w:rsidP="00B07BB3">
      <w:pPr>
        <w:pStyle w:val="CorpodoTexto"/>
        <w:numPr>
          <w:ilvl w:val="0"/>
          <w:numId w:val="49"/>
        </w:numPr>
        <w:rPr>
          <w:szCs w:val="22"/>
        </w:rPr>
      </w:pPr>
      <w:r w:rsidRPr="00066F5F">
        <w:rPr>
          <w:szCs w:val="22"/>
        </w:rPr>
        <w:t xml:space="preserve">Configuração de Referência Hidroelétrica: </w:t>
      </w:r>
      <w:r w:rsidR="005F60C0" w:rsidRPr="00066F5F">
        <w:rPr>
          <w:szCs w:val="22"/>
        </w:rPr>
        <w:t xml:space="preserve">é baseada na configuração utilizada para cálculo de Garantias Físicas no </w:t>
      </w:r>
      <w:r w:rsidR="00E576FF" w:rsidRPr="00066F5F">
        <w:rPr>
          <w:szCs w:val="22"/>
        </w:rPr>
        <w:t xml:space="preserve">1º </w:t>
      </w:r>
      <w:r w:rsidR="005F60C0" w:rsidRPr="00066F5F">
        <w:rPr>
          <w:szCs w:val="22"/>
        </w:rPr>
        <w:t>Leilão A-5 de 201</w:t>
      </w:r>
      <w:r w:rsidR="00E576FF" w:rsidRPr="00066F5F">
        <w:rPr>
          <w:szCs w:val="22"/>
        </w:rPr>
        <w:t>3</w:t>
      </w:r>
      <w:r w:rsidR="005F60C0" w:rsidRPr="00066F5F">
        <w:rPr>
          <w:szCs w:val="22"/>
        </w:rPr>
        <w:t xml:space="preserve">, </w:t>
      </w:r>
      <w:r w:rsidR="00E576FF" w:rsidRPr="00066F5F">
        <w:rPr>
          <w:szCs w:val="22"/>
        </w:rPr>
        <w:t>incluindo a UHE Sinop, que obteve a concessão no referido Leilão, e ainda a UHE Salto Apiacás, usina autorizada que negociou energia neste Leilão.</w:t>
      </w:r>
      <w:r w:rsidR="005F60C0" w:rsidRPr="00066F5F">
        <w:rPr>
          <w:szCs w:val="22"/>
        </w:rPr>
        <w:t xml:space="preserve"> </w:t>
      </w:r>
      <w:r w:rsidR="00E576FF" w:rsidRPr="00066F5F">
        <w:rPr>
          <w:szCs w:val="22"/>
        </w:rPr>
        <w:t>Nessa configuração, foram atualizadas as características técnicas das usinas em operação conforme PMO de outubro de 2013.</w:t>
      </w:r>
    </w:p>
    <w:p w:rsidR="00444CDC" w:rsidRPr="00245EB2" w:rsidRDefault="004A6278" w:rsidP="004A6278">
      <w:r>
        <w:br w:type="page"/>
      </w:r>
    </w:p>
    <w:p w:rsidR="002A7822" w:rsidRPr="004A6278" w:rsidRDefault="003C0CD4" w:rsidP="002A7822">
      <w:pPr>
        <w:pStyle w:val="EstiloTtulo1"/>
        <w:numPr>
          <w:ilvl w:val="0"/>
          <w:numId w:val="0"/>
        </w:numPr>
        <w:spacing w:before="400" w:after="200"/>
        <w:ind w:left="567" w:hanging="567"/>
        <w:outlineLvl w:val="0"/>
        <w:rPr>
          <w:rFonts w:ascii="Tahoma" w:hAnsi="Tahoma" w:cs="Tahoma"/>
          <w:b/>
          <w:sz w:val="26"/>
          <w:szCs w:val="26"/>
        </w:rPr>
      </w:pPr>
      <w:bookmarkStart w:id="19" w:name="_Toc372037086"/>
      <w:r w:rsidRPr="004A6278">
        <w:rPr>
          <w:rFonts w:ascii="Tahoma" w:hAnsi="Tahoma" w:cs="Tahoma"/>
          <w:b/>
          <w:sz w:val="26"/>
          <w:szCs w:val="26"/>
        </w:rPr>
        <w:lastRenderedPageBreak/>
        <w:t>3</w:t>
      </w:r>
      <w:r w:rsidR="00245EB2" w:rsidRPr="004A6278">
        <w:rPr>
          <w:rFonts w:ascii="Tahoma" w:hAnsi="Tahoma" w:cs="Tahoma"/>
          <w:b/>
          <w:sz w:val="26"/>
          <w:szCs w:val="26"/>
        </w:rPr>
        <w:t xml:space="preserve">. </w:t>
      </w:r>
      <w:r w:rsidR="002A7822" w:rsidRPr="004A6278">
        <w:rPr>
          <w:rFonts w:ascii="Tahoma" w:hAnsi="Tahoma" w:cs="Tahoma"/>
          <w:b/>
          <w:sz w:val="26"/>
          <w:szCs w:val="26"/>
        </w:rPr>
        <w:t>C</w:t>
      </w:r>
      <w:r w:rsidR="00245EB2" w:rsidRPr="004A6278">
        <w:rPr>
          <w:rFonts w:ascii="Tahoma" w:hAnsi="Tahoma" w:cs="Tahoma"/>
          <w:b/>
          <w:sz w:val="26"/>
          <w:szCs w:val="26"/>
        </w:rPr>
        <w:t>álculo do montante revisto de</w:t>
      </w:r>
      <w:r w:rsidR="002A7822" w:rsidRPr="004A6278">
        <w:rPr>
          <w:rFonts w:ascii="Tahoma" w:hAnsi="Tahoma" w:cs="Tahoma"/>
          <w:b/>
          <w:sz w:val="26"/>
          <w:szCs w:val="26"/>
        </w:rPr>
        <w:t xml:space="preserve"> Garantia Física da</w:t>
      </w:r>
      <w:r w:rsidR="00245EB2" w:rsidRPr="004A6278">
        <w:rPr>
          <w:rFonts w:ascii="Tahoma" w:hAnsi="Tahoma" w:cs="Tahoma"/>
          <w:b/>
          <w:sz w:val="26"/>
          <w:szCs w:val="26"/>
        </w:rPr>
        <w:t xml:space="preserve"> UTE Figueira</w:t>
      </w:r>
      <w:bookmarkEnd w:id="19"/>
    </w:p>
    <w:p w:rsidR="00833B11" w:rsidRPr="004A6278" w:rsidRDefault="003F289F" w:rsidP="00833B11">
      <w:pPr>
        <w:pStyle w:val="CorpodoTexto"/>
      </w:pPr>
      <w:bookmarkStart w:id="20" w:name="_Toc309743884"/>
      <w:r w:rsidRPr="004A6278">
        <w:t>A</w:t>
      </w:r>
      <w:r w:rsidR="002162EA" w:rsidRPr="004A6278">
        <w:t xml:space="preserve"> usina termelétrica</w:t>
      </w:r>
      <w:r w:rsidR="00245EB2" w:rsidRPr="004A6278">
        <w:t xml:space="preserve"> Figueira,</w:t>
      </w:r>
      <w:r w:rsidR="002162EA" w:rsidRPr="004A6278">
        <w:t xml:space="preserve"> </w:t>
      </w:r>
      <w:r w:rsidR="00245EB2" w:rsidRPr="004A6278">
        <w:t>já</w:t>
      </w:r>
      <w:r w:rsidR="002162EA" w:rsidRPr="004A6278">
        <w:t xml:space="preserve"> </w:t>
      </w:r>
      <w:r w:rsidR="00245EB2" w:rsidRPr="004A6278">
        <w:t xml:space="preserve">considerando o projeto de modernização, </w:t>
      </w:r>
      <w:r w:rsidR="00833B11" w:rsidRPr="004A6278">
        <w:t>fo</w:t>
      </w:r>
      <w:r w:rsidR="00245EB2" w:rsidRPr="004A6278">
        <w:t>i</w:t>
      </w:r>
      <w:r w:rsidR="00833B11" w:rsidRPr="004A6278">
        <w:t xml:space="preserve"> adicionada à Configuração de Referência Inicial</w:t>
      </w:r>
      <w:r w:rsidR="007E6F7B">
        <w:t>, descrita no Item 2.2</w:t>
      </w:r>
      <w:r w:rsidR="00833B11" w:rsidRPr="004A6278">
        <w:t xml:space="preserve">, </w:t>
      </w:r>
      <w:r w:rsidR="00C21A42">
        <w:t xml:space="preserve">em substituição ao projeto anterior à modernização, </w:t>
      </w:r>
      <w:r w:rsidR="00833B11" w:rsidRPr="004A6278">
        <w:t>calculando-se então sua respectiva garantia física</w:t>
      </w:r>
      <w:r w:rsidR="00245EB2" w:rsidRPr="004A6278">
        <w:t xml:space="preserve"> revisada</w:t>
      </w:r>
      <w:r w:rsidR="00625D39">
        <w:t>,</w:t>
      </w:r>
      <w:r w:rsidR="00833B11" w:rsidRPr="004A6278">
        <w:t xml:space="preserve"> com aplicação do modelo NEWAVE, tendo como base a metodologia da Portaria MME nº 258/2008. Vale ressaltar que a garantia física de uma termelétrica será limitada ao valor de sua disponibilidade máxima, fazendo-se um “re-rateio”, se necessário, conforme previsto na metodologia.</w:t>
      </w:r>
    </w:p>
    <w:p w:rsidR="004B47DB" w:rsidRPr="00CF62C9" w:rsidRDefault="00833B11" w:rsidP="004A6278">
      <w:pPr>
        <w:pStyle w:val="CorpodoTexto"/>
      </w:pPr>
      <w:r w:rsidRPr="00CF62C9">
        <w:t>A tabela a seguir apresenta os dados das convergências dos casos simulados.</w:t>
      </w:r>
    </w:p>
    <w:p w:rsidR="00833B11" w:rsidRPr="00CF62C9" w:rsidRDefault="00833B11" w:rsidP="00833B11">
      <w:pPr>
        <w:pStyle w:val="Titulo-TabeGraf"/>
        <w:ind w:left="431"/>
        <w:jc w:val="center"/>
      </w:pPr>
      <w:r w:rsidRPr="00CF62C9">
        <w:t xml:space="preserve">Tabela </w:t>
      </w:r>
      <w:r w:rsidR="00DA7738">
        <w:fldChar w:fldCharType="begin"/>
      </w:r>
      <w:r w:rsidR="0049151C">
        <w:instrText xml:space="preserve"> SEQ Tabela \* ARABIC </w:instrText>
      </w:r>
      <w:r w:rsidR="00DA7738">
        <w:fldChar w:fldCharType="separate"/>
      </w:r>
      <w:r w:rsidR="00E771B0" w:rsidRPr="00CF62C9">
        <w:rPr>
          <w:noProof/>
        </w:rPr>
        <w:t>4</w:t>
      </w:r>
      <w:r w:rsidR="00DA7738">
        <w:rPr>
          <w:noProof/>
        </w:rPr>
        <w:fldChar w:fldCharType="end"/>
      </w:r>
      <w:r w:rsidRPr="00CF62C9">
        <w:t xml:space="preserve"> - Carga crítica e média dos CMO e riscos anuais de déficit</w:t>
      </w:r>
    </w:p>
    <w:tbl>
      <w:tblPr>
        <w:tblW w:w="10080" w:type="dxa"/>
        <w:tblInd w:w="56" w:type="dxa"/>
        <w:tblCellMar>
          <w:left w:w="70" w:type="dxa"/>
          <w:right w:w="70" w:type="dxa"/>
        </w:tblCellMar>
        <w:tblLook w:val="04A0"/>
      </w:tblPr>
      <w:tblGrid>
        <w:gridCol w:w="2220"/>
        <w:gridCol w:w="900"/>
        <w:gridCol w:w="900"/>
        <w:gridCol w:w="900"/>
        <w:gridCol w:w="240"/>
        <w:gridCol w:w="2220"/>
        <w:gridCol w:w="900"/>
        <w:gridCol w:w="900"/>
        <w:gridCol w:w="900"/>
      </w:tblGrid>
      <w:tr w:rsidR="00B47212" w:rsidRPr="00B47212" w:rsidTr="007526A8">
        <w:trPr>
          <w:trHeight w:val="270"/>
        </w:trPr>
        <w:tc>
          <w:tcPr>
            <w:tcW w:w="4920" w:type="dxa"/>
            <w:gridSpan w:val="4"/>
            <w:tcBorders>
              <w:top w:val="single" w:sz="8" w:space="0" w:color="000000"/>
              <w:left w:val="nil"/>
              <w:bottom w:val="single" w:sz="8" w:space="0" w:color="000000"/>
              <w:right w:val="nil"/>
            </w:tcBorders>
            <w:shd w:val="clear" w:color="000000" w:fill="FFC000"/>
            <w:vAlign w:val="center"/>
            <w:hideMark/>
          </w:tcPr>
          <w:p w:rsidR="00833B11" w:rsidRPr="00CF62C9" w:rsidRDefault="008220F4" w:rsidP="00CF62C9">
            <w:pPr>
              <w:jc w:val="center"/>
              <w:rPr>
                <w:rFonts w:ascii="Tahoma" w:hAnsi="Tahoma" w:cs="Tahoma"/>
                <w:b/>
                <w:bCs/>
                <w:sz w:val="18"/>
                <w:szCs w:val="18"/>
              </w:rPr>
            </w:pPr>
            <w:r w:rsidRPr="00CF62C9">
              <w:rPr>
                <w:rFonts w:ascii="Tahoma" w:hAnsi="Tahoma" w:cs="Tahoma"/>
                <w:b/>
                <w:bCs/>
                <w:sz w:val="18"/>
                <w:szCs w:val="18"/>
              </w:rPr>
              <w:t>Caso Base d</w:t>
            </w:r>
            <w:r w:rsidR="00CF62C9" w:rsidRPr="00CF62C9">
              <w:rPr>
                <w:rFonts w:ascii="Tahoma" w:hAnsi="Tahoma" w:cs="Tahoma"/>
                <w:b/>
                <w:bCs/>
                <w:sz w:val="18"/>
                <w:szCs w:val="18"/>
              </w:rPr>
              <w:t xml:space="preserve">e Revisão </w:t>
            </w:r>
            <w:r w:rsidR="00CF62C9">
              <w:rPr>
                <w:rFonts w:ascii="Tahoma" w:hAnsi="Tahoma" w:cs="Tahoma"/>
                <w:b/>
                <w:bCs/>
                <w:sz w:val="18"/>
                <w:szCs w:val="18"/>
              </w:rPr>
              <w:t xml:space="preserve">de GF </w:t>
            </w:r>
            <w:r w:rsidR="00CF62C9" w:rsidRPr="00CF62C9">
              <w:rPr>
                <w:rFonts w:ascii="Tahoma" w:hAnsi="Tahoma" w:cs="Tahoma"/>
                <w:b/>
                <w:bCs/>
                <w:sz w:val="18"/>
                <w:szCs w:val="18"/>
              </w:rPr>
              <w:t>da UTE Figueira</w:t>
            </w:r>
          </w:p>
        </w:tc>
        <w:tc>
          <w:tcPr>
            <w:tcW w:w="240" w:type="dxa"/>
            <w:tcBorders>
              <w:top w:val="nil"/>
              <w:left w:val="nil"/>
              <w:bottom w:val="nil"/>
              <w:right w:val="nil"/>
            </w:tcBorders>
            <w:shd w:val="clear" w:color="000000" w:fill="FFFFFF"/>
            <w:noWrap/>
            <w:vAlign w:val="bottom"/>
            <w:hideMark/>
          </w:tcPr>
          <w:p w:rsidR="00833B11" w:rsidRPr="00CF62C9" w:rsidRDefault="00833B11" w:rsidP="00833B11">
            <w:pPr>
              <w:rPr>
                <w:rFonts w:ascii="Arial" w:hAnsi="Arial" w:cs="Arial"/>
                <w:sz w:val="18"/>
                <w:szCs w:val="18"/>
              </w:rPr>
            </w:pPr>
            <w:r w:rsidRPr="00CF62C9">
              <w:rPr>
                <w:rFonts w:ascii="Arial" w:hAnsi="Arial" w:cs="Arial"/>
                <w:sz w:val="18"/>
                <w:szCs w:val="18"/>
              </w:rPr>
              <w:t> </w:t>
            </w:r>
          </w:p>
        </w:tc>
        <w:tc>
          <w:tcPr>
            <w:tcW w:w="4920" w:type="dxa"/>
            <w:gridSpan w:val="4"/>
            <w:tcBorders>
              <w:top w:val="single" w:sz="8" w:space="0" w:color="000000"/>
              <w:left w:val="nil"/>
              <w:bottom w:val="single" w:sz="8" w:space="0" w:color="000000"/>
              <w:right w:val="nil"/>
            </w:tcBorders>
            <w:shd w:val="clear" w:color="000000" w:fill="FFC000"/>
            <w:vAlign w:val="center"/>
            <w:hideMark/>
          </w:tcPr>
          <w:p w:rsidR="00833B11" w:rsidRPr="00B47212" w:rsidRDefault="00833B11" w:rsidP="00CF62C9">
            <w:pPr>
              <w:jc w:val="center"/>
              <w:rPr>
                <w:rFonts w:ascii="Tahoma" w:hAnsi="Tahoma" w:cs="Tahoma"/>
                <w:b/>
                <w:bCs/>
                <w:sz w:val="18"/>
                <w:szCs w:val="18"/>
              </w:rPr>
            </w:pPr>
            <w:r w:rsidRPr="00B47212">
              <w:rPr>
                <w:rFonts w:ascii="Tahoma" w:hAnsi="Tahoma" w:cs="Tahoma"/>
                <w:b/>
                <w:bCs/>
                <w:sz w:val="18"/>
                <w:szCs w:val="18"/>
              </w:rPr>
              <w:t>Caso do Cálculo d</w:t>
            </w:r>
            <w:r w:rsidR="00CF62C9" w:rsidRPr="00B47212">
              <w:rPr>
                <w:rFonts w:ascii="Tahoma" w:hAnsi="Tahoma" w:cs="Tahoma"/>
                <w:b/>
                <w:bCs/>
                <w:sz w:val="18"/>
                <w:szCs w:val="18"/>
              </w:rPr>
              <w:t>a Revisão de GF da UTE Figueira</w:t>
            </w:r>
          </w:p>
        </w:tc>
      </w:tr>
      <w:tr w:rsidR="00AA683E" w:rsidRPr="00B47212" w:rsidTr="00833B11">
        <w:trPr>
          <w:trHeight w:val="255"/>
        </w:trPr>
        <w:tc>
          <w:tcPr>
            <w:tcW w:w="4920" w:type="dxa"/>
            <w:gridSpan w:val="4"/>
            <w:tcBorders>
              <w:top w:val="single" w:sz="8" w:space="0" w:color="000000"/>
              <w:left w:val="nil"/>
              <w:bottom w:val="nil"/>
              <w:right w:val="nil"/>
            </w:tcBorders>
            <w:shd w:val="clear" w:color="000000" w:fill="FFC000"/>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Média dos Custos Marginais de Operação (R$/MWh)</w:t>
            </w:r>
          </w:p>
        </w:tc>
        <w:tc>
          <w:tcPr>
            <w:tcW w:w="240" w:type="dxa"/>
            <w:tcBorders>
              <w:top w:val="nil"/>
              <w:left w:val="nil"/>
              <w:bottom w:val="nil"/>
              <w:right w:val="nil"/>
            </w:tcBorders>
            <w:shd w:val="clear" w:color="000000" w:fill="FFFFFF"/>
            <w:noWrap/>
            <w:vAlign w:val="bottom"/>
            <w:hideMark/>
          </w:tcPr>
          <w:p w:rsidR="00833B11" w:rsidRPr="00CF62C9" w:rsidRDefault="00833B11" w:rsidP="00833B11">
            <w:pPr>
              <w:rPr>
                <w:rFonts w:ascii="Arial" w:hAnsi="Arial" w:cs="Arial"/>
                <w:sz w:val="18"/>
                <w:szCs w:val="18"/>
              </w:rPr>
            </w:pPr>
            <w:r w:rsidRPr="00CF62C9">
              <w:rPr>
                <w:rFonts w:ascii="Arial" w:hAnsi="Arial" w:cs="Arial"/>
                <w:sz w:val="18"/>
                <w:szCs w:val="18"/>
              </w:rPr>
              <w:t> </w:t>
            </w:r>
          </w:p>
        </w:tc>
        <w:tc>
          <w:tcPr>
            <w:tcW w:w="4920" w:type="dxa"/>
            <w:gridSpan w:val="4"/>
            <w:tcBorders>
              <w:top w:val="single" w:sz="8" w:space="0" w:color="000000"/>
              <w:left w:val="nil"/>
              <w:bottom w:val="nil"/>
              <w:right w:val="nil"/>
            </w:tcBorders>
            <w:shd w:val="clear" w:color="000000" w:fill="FFC000"/>
            <w:hideMark/>
          </w:tcPr>
          <w:p w:rsidR="00833B11" w:rsidRPr="00B47212" w:rsidRDefault="00833B11" w:rsidP="00833B11">
            <w:pPr>
              <w:jc w:val="both"/>
              <w:rPr>
                <w:rFonts w:ascii="Tahoma" w:hAnsi="Tahoma" w:cs="Tahoma"/>
                <w:b/>
                <w:bCs/>
                <w:sz w:val="18"/>
                <w:szCs w:val="18"/>
              </w:rPr>
            </w:pPr>
            <w:r w:rsidRPr="00B47212">
              <w:rPr>
                <w:rFonts w:ascii="Tahoma" w:hAnsi="Tahoma" w:cs="Tahoma"/>
                <w:b/>
                <w:bCs/>
                <w:sz w:val="18"/>
                <w:szCs w:val="18"/>
              </w:rPr>
              <w:t>Média dos Custos Marginais de Operação (R$/MWh)</w:t>
            </w:r>
          </w:p>
        </w:tc>
      </w:tr>
      <w:tr w:rsidR="00AA683E" w:rsidRPr="00B47212" w:rsidTr="00833B11">
        <w:trPr>
          <w:trHeight w:val="270"/>
        </w:trPr>
        <w:tc>
          <w:tcPr>
            <w:tcW w:w="222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SE/CO/Acre/Rondônia</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NE</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w:t>
            </w:r>
          </w:p>
        </w:tc>
        <w:tc>
          <w:tcPr>
            <w:tcW w:w="240" w:type="dxa"/>
            <w:tcBorders>
              <w:top w:val="nil"/>
              <w:left w:val="nil"/>
              <w:bottom w:val="nil"/>
              <w:right w:val="nil"/>
            </w:tcBorders>
            <w:shd w:val="clear" w:color="000000" w:fill="FFFFFF"/>
            <w:noWrap/>
            <w:vAlign w:val="bottom"/>
            <w:hideMark/>
          </w:tcPr>
          <w:p w:rsidR="00833B11" w:rsidRPr="00CF62C9" w:rsidRDefault="00833B11"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SE/CO/Acre/Rondônia</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NE</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w:t>
            </w:r>
          </w:p>
        </w:tc>
      </w:tr>
      <w:tr w:rsidR="00B47212" w:rsidRPr="00B47212" w:rsidTr="003466B0">
        <w:trPr>
          <w:trHeight w:val="270"/>
        </w:trPr>
        <w:tc>
          <w:tcPr>
            <w:tcW w:w="2220" w:type="dxa"/>
            <w:tcBorders>
              <w:top w:val="nil"/>
              <w:left w:val="nil"/>
              <w:bottom w:val="single" w:sz="8" w:space="0" w:color="auto"/>
              <w:right w:val="nil"/>
            </w:tcBorders>
            <w:shd w:val="clear" w:color="000000" w:fill="FFFFFF"/>
            <w:vAlign w:val="center"/>
          </w:tcPr>
          <w:p w:rsidR="003466B0" w:rsidRPr="00CF62C9" w:rsidRDefault="003466B0" w:rsidP="00BA2A1C">
            <w:pPr>
              <w:jc w:val="center"/>
              <w:rPr>
                <w:rFonts w:ascii="Tahoma" w:hAnsi="Tahoma" w:cs="Tahoma"/>
                <w:sz w:val="18"/>
                <w:szCs w:val="18"/>
              </w:rPr>
            </w:pPr>
            <w:r w:rsidRPr="00CF62C9">
              <w:rPr>
                <w:rFonts w:ascii="Tahoma" w:hAnsi="Tahoma" w:cs="Tahoma"/>
                <w:sz w:val="18"/>
                <w:szCs w:val="18"/>
              </w:rPr>
              <w:t>102,13</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BA2A1C">
            <w:pPr>
              <w:jc w:val="center"/>
              <w:rPr>
                <w:rFonts w:ascii="Tahoma" w:hAnsi="Tahoma" w:cs="Tahoma"/>
                <w:sz w:val="18"/>
                <w:szCs w:val="18"/>
              </w:rPr>
            </w:pPr>
            <w:r w:rsidRPr="00CF62C9">
              <w:rPr>
                <w:rFonts w:ascii="Tahoma" w:hAnsi="Tahoma" w:cs="Tahoma"/>
                <w:sz w:val="18"/>
                <w:szCs w:val="18"/>
              </w:rPr>
              <w:t>102,13</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BA2A1C">
            <w:pPr>
              <w:jc w:val="center"/>
              <w:rPr>
                <w:rFonts w:ascii="Tahoma" w:hAnsi="Tahoma" w:cs="Tahoma"/>
                <w:sz w:val="18"/>
                <w:szCs w:val="18"/>
              </w:rPr>
            </w:pPr>
            <w:r w:rsidRPr="00CF62C9">
              <w:rPr>
                <w:rFonts w:ascii="Tahoma" w:hAnsi="Tahoma" w:cs="Tahoma"/>
                <w:sz w:val="18"/>
                <w:szCs w:val="18"/>
              </w:rPr>
              <w:t>101,95</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BA2A1C">
            <w:pPr>
              <w:jc w:val="center"/>
              <w:rPr>
                <w:rFonts w:ascii="Tahoma" w:hAnsi="Tahoma" w:cs="Tahoma"/>
                <w:sz w:val="18"/>
                <w:szCs w:val="18"/>
              </w:rPr>
            </w:pPr>
            <w:r w:rsidRPr="00CF62C9">
              <w:rPr>
                <w:rFonts w:ascii="Tahoma" w:hAnsi="Tahoma" w:cs="Tahoma"/>
                <w:sz w:val="18"/>
                <w:szCs w:val="18"/>
              </w:rPr>
              <w:t>100,96</w:t>
            </w:r>
          </w:p>
        </w:tc>
        <w:tc>
          <w:tcPr>
            <w:tcW w:w="240" w:type="dxa"/>
            <w:tcBorders>
              <w:top w:val="nil"/>
              <w:left w:val="nil"/>
              <w:bottom w:val="nil"/>
              <w:right w:val="nil"/>
            </w:tcBorders>
            <w:shd w:val="clear" w:color="000000" w:fill="FFFFFF"/>
            <w:noWrap/>
            <w:vAlign w:val="bottom"/>
            <w:hideMark/>
          </w:tcPr>
          <w:p w:rsidR="003466B0" w:rsidRPr="00CF62C9" w:rsidRDefault="003466B0"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single" w:sz="8" w:space="0" w:color="auto"/>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102,</w:t>
            </w:r>
            <w:r w:rsidR="00B47212" w:rsidRPr="00B47212">
              <w:rPr>
                <w:rFonts w:ascii="Tahoma" w:hAnsi="Tahoma" w:cs="Tahoma"/>
                <w:sz w:val="18"/>
                <w:szCs w:val="18"/>
              </w:rPr>
              <w:t>54</w:t>
            </w:r>
          </w:p>
        </w:tc>
        <w:tc>
          <w:tcPr>
            <w:tcW w:w="900" w:type="dxa"/>
            <w:tcBorders>
              <w:top w:val="nil"/>
              <w:left w:val="nil"/>
              <w:bottom w:val="single" w:sz="8" w:space="0" w:color="auto"/>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102,</w:t>
            </w:r>
            <w:r w:rsidR="00B47212" w:rsidRPr="00B47212">
              <w:rPr>
                <w:rFonts w:ascii="Tahoma" w:hAnsi="Tahoma" w:cs="Tahoma"/>
                <w:sz w:val="18"/>
                <w:szCs w:val="18"/>
              </w:rPr>
              <w:t>54</w:t>
            </w:r>
          </w:p>
        </w:tc>
        <w:tc>
          <w:tcPr>
            <w:tcW w:w="900" w:type="dxa"/>
            <w:tcBorders>
              <w:top w:val="nil"/>
              <w:left w:val="nil"/>
              <w:bottom w:val="single" w:sz="8" w:space="0" w:color="auto"/>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102,</w:t>
            </w:r>
            <w:r w:rsidR="00B47212" w:rsidRPr="00B47212">
              <w:rPr>
                <w:rFonts w:ascii="Tahoma" w:hAnsi="Tahoma" w:cs="Tahoma"/>
                <w:sz w:val="18"/>
                <w:szCs w:val="18"/>
              </w:rPr>
              <w:t>14</w:t>
            </w:r>
          </w:p>
        </w:tc>
        <w:tc>
          <w:tcPr>
            <w:tcW w:w="900" w:type="dxa"/>
            <w:tcBorders>
              <w:top w:val="nil"/>
              <w:left w:val="nil"/>
              <w:bottom w:val="single" w:sz="8" w:space="0" w:color="auto"/>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101,0</w:t>
            </w:r>
            <w:r w:rsidR="00B47212" w:rsidRPr="00B47212">
              <w:rPr>
                <w:rFonts w:ascii="Tahoma" w:hAnsi="Tahoma" w:cs="Tahoma"/>
                <w:sz w:val="18"/>
                <w:szCs w:val="18"/>
              </w:rPr>
              <w:t>9</w:t>
            </w:r>
          </w:p>
        </w:tc>
      </w:tr>
      <w:tr w:rsidR="00AA683E" w:rsidRPr="00B47212" w:rsidTr="00ED0DC5">
        <w:trPr>
          <w:trHeight w:val="255"/>
        </w:trPr>
        <w:tc>
          <w:tcPr>
            <w:tcW w:w="4920" w:type="dxa"/>
            <w:gridSpan w:val="4"/>
            <w:tcBorders>
              <w:top w:val="nil"/>
              <w:left w:val="nil"/>
              <w:bottom w:val="nil"/>
              <w:right w:val="nil"/>
            </w:tcBorders>
            <w:shd w:val="clear" w:color="000000" w:fill="FFC000"/>
            <w:hideMark/>
          </w:tcPr>
          <w:p w:rsidR="00833B11" w:rsidRPr="00CF62C9" w:rsidRDefault="00833B11" w:rsidP="00833B11">
            <w:pPr>
              <w:jc w:val="both"/>
              <w:rPr>
                <w:rFonts w:ascii="Tahoma" w:hAnsi="Tahoma" w:cs="Tahoma"/>
                <w:b/>
                <w:bCs/>
                <w:sz w:val="18"/>
                <w:szCs w:val="18"/>
              </w:rPr>
            </w:pPr>
            <w:r w:rsidRPr="00CF62C9">
              <w:rPr>
                <w:rFonts w:ascii="Tahoma" w:hAnsi="Tahoma" w:cs="Tahoma"/>
                <w:b/>
                <w:bCs/>
                <w:sz w:val="18"/>
                <w:szCs w:val="18"/>
              </w:rPr>
              <w:t>Média dos Riscos Anuais de Déficit (%)</w:t>
            </w:r>
          </w:p>
        </w:tc>
        <w:tc>
          <w:tcPr>
            <w:tcW w:w="240" w:type="dxa"/>
            <w:tcBorders>
              <w:top w:val="nil"/>
              <w:left w:val="nil"/>
              <w:bottom w:val="nil"/>
              <w:right w:val="nil"/>
            </w:tcBorders>
            <w:shd w:val="clear" w:color="000000" w:fill="FFFFFF"/>
            <w:noWrap/>
            <w:hideMark/>
          </w:tcPr>
          <w:p w:rsidR="00833B11" w:rsidRPr="00CF62C9" w:rsidRDefault="00833B11" w:rsidP="00833B11">
            <w:pPr>
              <w:rPr>
                <w:rFonts w:ascii="Arial" w:hAnsi="Arial" w:cs="Arial"/>
                <w:sz w:val="18"/>
                <w:szCs w:val="18"/>
              </w:rPr>
            </w:pPr>
          </w:p>
        </w:tc>
        <w:tc>
          <w:tcPr>
            <w:tcW w:w="4920" w:type="dxa"/>
            <w:gridSpan w:val="4"/>
            <w:tcBorders>
              <w:top w:val="nil"/>
              <w:left w:val="nil"/>
              <w:bottom w:val="nil"/>
              <w:right w:val="nil"/>
            </w:tcBorders>
            <w:shd w:val="clear" w:color="auto" w:fill="auto"/>
            <w:vAlign w:val="bottom"/>
            <w:hideMark/>
          </w:tcPr>
          <w:p w:rsidR="00833B11" w:rsidRPr="00B47212" w:rsidRDefault="00833B11" w:rsidP="00833B11">
            <w:pPr>
              <w:jc w:val="both"/>
              <w:rPr>
                <w:rFonts w:ascii="Tahoma" w:hAnsi="Tahoma" w:cs="Tahoma"/>
                <w:b/>
                <w:bCs/>
                <w:sz w:val="18"/>
                <w:szCs w:val="18"/>
              </w:rPr>
            </w:pPr>
            <w:r w:rsidRPr="00B47212">
              <w:rPr>
                <w:rFonts w:ascii="Tahoma" w:hAnsi="Tahoma" w:cs="Tahoma"/>
                <w:b/>
                <w:bCs/>
                <w:sz w:val="18"/>
                <w:szCs w:val="18"/>
              </w:rPr>
              <w:t>Média dos Riscos Anuais de Déficit (%)</w:t>
            </w:r>
          </w:p>
        </w:tc>
      </w:tr>
      <w:tr w:rsidR="00AA683E" w:rsidRPr="00B47212" w:rsidTr="00ED0DC5">
        <w:trPr>
          <w:trHeight w:val="270"/>
        </w:trPr>
        <w:tc>
          <w:tcPr>
            <w:tcW w:w="222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SE/CO/Acre/Rondônia</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NE</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w:t>
            </w:r>
          </w:p>
        </w:tc>
        <w:tc>
          <w:tcPr>
            <w:tcW w:w="240" w:type="dxa"/>
            <w:tcBorders>
              <w:top w:val="nil"/>
              <w:left w:val="nil"/>
              <w:bottom w:val="nil"/>
              <w:right w:val="nil"/>
            </w:tcBorders>
            <w:shd w:val="clear" w:color="000000" w:fill="FFFFFF"/>
            <w:noWrap/>
            <w:vAlign w:val="bottom"/>
            <w:hideMark/>
          </w:tcPr>
          <w:p w:rsidR="00833B11" w:rsidRPr="00CF62C9" w:rsidRDefault="00833B11"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nil"/>
              <w:right w:val="nil"/>
            </w:tcBorders>
            <w:shd w:val="clear" w:color="auto" w:fill="auto"/>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SE/CO/Acre/Rondônia</w:t>
            </w:r>
          </w:p>
        </w:tc>
        <w:tc>
          <w:tcPr>
            <w:tcW w:w="900" w:type="dxa"/>
            <w:tcBorders>
              <w:top w:val="nil"/>
              <w:left w:val="nil"/>
              <w:bottom w:val="nil"/>
              <w:right w:val="nil"/>
            </w:tcBorders>
            <w:shd w:val="clear" w:color="auto" w:fill="auto"/>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w:t>
            </w:r>
          </w:p>
        </w:tc>
        <w:tc>
          <w:tcPr>
            <w:tcW w:w="900" w:type="dxa"/>
            <w:tcBorders>
              <w:top w:val="nil"/>
              <w:left w:val="nil"/>
              <w:bottom w:val="nil"/>
              <w:right w:val="nil"/>
            </w:tcBorders>
            <w:shd w:val="clear" w:color="auto" w:fill="auto"/>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NE</w:t>
            </w:r>
          </w:p>
        </w:tc>
        <w:tc>
          <w:tcPr>
            <w:tcW w:w="900" w:type="dxa"/>
            <w:tcBorders>
              <w:top w:val="nil"/>
              <w:left w:val="nil"/>
              <w:bottom w:val="nil"/>
              <w:right w:val="nil"/>
            </w:tcBorders>
            <w:shd w:val="clear" w:color="auto" w:fill="auto"/>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w:t>
            </w:r>
          </w:p>
        </w:tc>
      </w:tr>
      <w:tr w:rsidR="00B47212" w:rsidRPr="00B47212" w:rsidTr="003466B0">
        <w:trPr>
          <w:trHeight w:val="255"/>
        </w:trPr>
        <w:tc>
          <w:tcPr>
            <w:tcW w:w="2220" w:type="dxa"/>
            <w:tcBorders>
              <w:top w:val="nil"/>
              <w:left w:val="nil"/>
              <w:bottom w:val="single" w:sz="8" w:space="0" w:color="auto"/>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0,42</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0,26</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0,31</w:t>
            </w:r>
          </w:p>
        </w:tc>
        <w:tc>
          <w:tcPr>
            <w:tcW w:w="900" w:type="dxa"/>
            <w:tcBorders>
              <w:top w:val="nil"/>
              <w:left w:val="nil"/>
              <w:bottom w:val="single" w:sz="8" w:space="0" w:color="auto"/>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0,20</w:t>
            </w:r>
          </w:p>
        </w:tc>
        <w:tc>
          <w:tcPr>
            <w:tcW w:w="240" w:type="dxa"/>
            <w:tcBorders>
              <w:top w:val="nil"/>
              <w:left w:val="nil"/>
              <w:bottom w:val="nil"/>
              <w:right w:val="nil"/>
            </w:tcBorders>
            <w:shd w:val="clear" w:color="000000" w:fill="FFFFFF"/>
            <w:noWrap/>
            <w:vAlign w:val="bottom"/>
            <w:hideMark/>
          </w:tcPr>
          <w:p w:rsidR="003466B0" w:rsidRPr="00CF62C9" w:rsidRDefault="003466B0"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single" w:sz="8" w:space="0" w:color="auto"/>
              <w:right w:val="nil"/>
            </w:tcBorders>
            <w:shd w:val="clear" w:color="auto" w:fill="auto"/>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0</w:t>
            </w:r>
            <w:r w:rsidR="007526A8" w:rsidRPr="00B47212">
              <w:rPr>
                <w:rFonts w:ascii="Tahoma" w:hAnsi="Tahoma" w:cs="Tahoma"/>
                <w:sz w:val="18"/>
                <w:szCs w:val="18"/>
              </w:rPr>
              <w:t>,</w:t>
            </w:r>
            <w:r w:rsidR="00B47212" w:rsidRPr="00B47212">
              <w:rPr>
                <w:rFonts w:ascii="Tahoma" w:hAnsi="Tahoma" w:cs="Tahoma"/>
                <w:sz w:val="18"/>
                <w:szCs w:val="18"/>
              </w:rPr>
              <w:t>45</w:t>
            </w:r>
          </w:p>
        </w:tc>
        <w:tc>
          <w:tcPr>
            <w:tcW w:w="900" w:type="dxa"/>
            <w:tcBorders>
              <w:top w:val="nil"/>
              <w:left w:val="nil"/>
              <w:bottom w:val="single" w:sz="8" w:space="0" w:color="auto"/>
              <w:right w:val="nil"/>
            </w:tcBorders>
            <w:shd w:val="clear" w:color="auto" w:fill="auto"/>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0</w:t>
            </w:r>
            <w:r w:rsidR="007526A8" w:rsidRPr="00B47212">
              <w:rPr>
                <w:rFonts w:ascii="Tahoma" w:hAnsi="Tahoma" w:cs="Tahoma"/>
                <w:sz w:val="18"/>
                <w:szCs w:val="18"/>
              </w:rPr>
              <w:t>,</w:t>
            </w:r>
            <w:r w:rsidRPr="00B47212">
              <w:rPr>
                <w:rFonts w:ascii="Tahoma" w:hAnsi="Tahoma" w:cs="Tahoma"/>
                <w:sz w:val="18"/>
                <w:szCs w:val="18"/>
              </w:rPr>
              <w:t>2</w:t>
            </w:r>
            <w:r w:rsidR="00B47212" w:rsidRPr="00B47212">
              <w:rPr>
                <w:rFonts w:ascii="Tahoma" w:hAnsi="Tahoma" w:cs="Tahoma"/>
                <w:sz w:val="18"/>
                <w:szCs w:val="18"/>
              </w:rPr>
              <w:t>5</w:t>
            </w:r>
          </w:p>
        </w:tc>
        <w:tc>
          <w:tcPr>
            <w:tcW w:w="900" w:type="dxa"/>
            <w:tcBorders>
              <w:top w:val="nil"/>
              <w:left w:val="nil"/>
              <w:bottom w:val="single" w:sz="8" w:space="0" w:color="auto"/>
              <w:right w:val="nil"/>
            </w:tcBorders>
            <w:shd w:val="clear" w:color="auto" w:fill="auto"/>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0</w:t>
            </w:r>
            <w:r w:rsidR="007526A8" w:rsidRPr="00B47212">
              <w:rPr>
                <w:rFonts w:ascii="Tahoma" w:hAnsi="Tahoma" w:cs="Tahoma"/>
                <w:sz w:val="18"/>
                <w:szCs w:val="18"/>
              </w:rPr>
              <w:t>,</w:t>
            </w:r>
            <w:r w:rsidRPr="00B47212">
              <w:rPr>
                <w:rFonts w:ascii="Tahoma" w:hAnsi="Tahoma" w:cs="Tahoma"/>
                <w:sz w:val="18"/>
                <w:szCs w:val="18"/>
              </w:rPr>
              <w:t>3</w:t>
            </w:r>
            <w:r w:rsidR="00B47212" w:rsidRPr="00B47212">
              <w:rPr>
                <w:rFonts w:ascii="Tahoma" w:hAnsi="Tahoma" w:cs="Tahoma"/>
                <w:sz w:val="18"/>
                <w:szCs w:val="18"/>
              </w:rPr>
              <w:t>6</w:t>
            </w:r>
          </w:p>
        </w:tc>
        <w:tc>
          <w:tcPr>
            <w:tcW w:w="900" w:type="dxa"/>
            <w:tcBorders>
              <w:top w:val="nil"/>
              <w:left w:val="nil"/>
              <w:bottom w:val="single" w:sz="8" w:space="0" w:color="auto"/>
              <w:right w:val="nil"/>
            </w:tcBorders>
            <w:shd w:val="clear" w:color="auto" w:fill="auto"/>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0</w:t>
            </w:r>
            <w:r w:rsidR="007526A8" w:rsidRPr="00B47212">
              <w:rPr>
                <w:rFonts w:ascii="Tahoma" w:hAnsi="Tahoma" w:cs="Tahoma"/>
                <w:sz w:val="18"/>
                <w:szCs w:val="18"/>
              </w:rPr>
              <w:t>,</w:t>
            </w:r>
            <w:r w:rsidRPr="00B47212">
              <w:rPr>
                <w:rFonts w:ascii="Tahoma" w:hAnsi="Tahoma" w:cs="Tahoma"/>
                <w:sz w:val="18"/>
                <w:szCs w:val="18"/>
              </w:rPr>
              <w:t>2</w:t>
            </w:r>
            <w:r w:rsidR="00B47212" w:rsidRPr="00B47212">
              <w:rPr>
                <w:rFonts w:ascii="Tahoma" w:hAnsi="Tahoma" w:cs="Tahoma"/>
                <w:sz w:val="18"/>
                <w:szCs w:val="18"/>
              </w:rPr>
              <w:t>3</w:t>
            </w:r>
          </w:p>
        </w:tc>
      </w:tr>
      <w:tr w:rsidR="00AA683E" w:rsidRPr="00B47212" w:rsidTr="00833B11">
        <w:trPr>
          <w:trHeight w:val="255"/>
        </w:trPr>
        <w:tc>
          <w:tcPr>
            <w:tcW w:w="4920" w:type="dxa"/>
            <w:gridSpan w:val="4"/>
            <w:tcBorders>
              <w:top w:val="nil"/>
              <w:left w:val="nil"/>
              <w:bottom w:val="nil"/>
              <w:right w:val="nil"/>
            </w:tcBorders>
            <w:shd w:val="clear" w:color="000000" w:fill="FFC000"/>
            <w:hideMark/>
          </w:tcPr>
          <w:p w:rsidR="00833B11" w:rsidRPr="00CF62C9" w:rsidRDefault="00833B11" w:rsidP="00833B11">
            <w:pPr>
              <w:rPr>
                <w:rFonts w:ascii="Tahoma" w:hAnsi="Tahoma" w:cs="Tahoma"/>
                <w:b/>
                <w:bCs/>
                <w:sz w:val="18"/>
                <w:szCs w:val="18"/>
              </w:rPr>
            </w:pPr>
            <w:r w:rsidRPr="00CF62C9">
              <w:rPr>
                <w:rFonts w:ascii="Tahoma" w:hAnsi="Tahoma" w:cs="Tahoma"/>
                <w:b/>
                <w:bCs/>
                <w:sz w:val="18"/>
                <w:szCs w:val="18"/>
              </w:rPr>
              <w:t xml:space="preserve">Carga Crítica (MWmed)  </w:t>
            </w:r>
          </w:p>
        </w:tc>
        <w:tc>
          <w:tcPr>
            <w:tcW w:w="240" w:type="dxa"/>
            <w:tcBorders>
              <w:top w:val="nil"/>
              <w:left w:val="nil"/>
              <w:bottom w:val="nil"/>
              <w:right w:val="nil"/>
            </w:tcBorders>
            <w:shd w:val="clear" w:color="000000" w:fill="FFFFFF"/>
            <w:noWrap/>
            <w:hideMark/>
          </w:tcPr>
          <w:p w:rsidR="00833B11" w:rsidRPr="00CF62C9" w:rsidRDefault="00833B11" w:rsidP="00833B11">
            <w:pPr>
              <w:rPr>
                <w:rFonts w:ascii="Arial" w:hAnsi="Arial" w:cs="Arial"/>
                <w:sz w:val="18"/>
                <w:szCs w:val="18"/>
              </w:rPr>
            </w:pPr>
          </w:p>
        </w:tc>
        <w:tc>
          <w:tcPr>
            <w:tcW w:w="4920" w:type="dxa"/>
            <w:gridSpan w:val="4"/>
            <w:tcBorders>
              <w:top w:val="nil"/>
              <w:left w:val="nil"/>
              <w:bottom w:val="nil"/>
              <w:right w:val="nil"/>
            </w:tcBorders>
            <w:shd w:val="clear" w:color="000000" w:fill="FFC000"/>
            <w:vAlign w:val="bottom"/>
            <w:hideMark/>
          </w:tcPr>
          <w:p w:rsidR="00833B11" w:rsidRPr="00B47212" w:rsidRDefault="00833B11" w:rsidP="00833B11">
            <w:pPr>
              <w:rPr>
                <w:rFonts w:ascii="Tahoma" w:hAnsi="Tahoma" w:cs="Tahoma"/>
                <w:b/>
                <w:bCs/>
                <w:sz w:val="18"/>
                <w:szCs w:val="18"/>
              </w:rPr>
            </w:pPr>
            <w:r w:rsidRPr="00B47212">
              <w:rPr>
                <w:rFonts w:ascii="Tahoma" w:hAnsi="Tahoma" w:cs="Tahoma"/>
                <w:b/>
                <w:bCs/>
                <w:sz w:val="18"/>
                <w:szCs w:val="18"/>
              </w:rPr>
              <w:t xml:space="preserve">Carga Crítica (MWmed)  </w:t>
            </w:r>
          </w:p>
        </w:tc>
      </w:tr>
      <w:tr w:rsidR="00AA683E" w:rsidRPr="00B47212" w:rsidTr="00833B11">
        <w:trPr>
          <w:trHeight w:val="255"/>
        </w:trPr>
        <w:tc>
          <w:tcPr>
            <w:tcW w:w="222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SE/CO/Acre/Rondônia</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S</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NE</w:t>
            </w:r>
          </w:p>
        </w:tc>
        <w:tc>
          <w:tcPr>
            <w:tcW w:w="900" w:type="dxa"/>
            <w:tcBorders>
              <w:top w:val="nil"/>
              <w:left w:val="nil"/>
              <w:bottom w:val="nil"/>
              <w:right w:val="nil"/>
            </w:tcBorders>
            <w:shd w:val="clear" w:color="000000" w:fill="FFFFFF"/>
            <w:vAlign w:val="bottom"/>
            <w:hideMark/>
          </w:tcPr>
          <w:p w:rsidR="00833B11" w:rsidRPr="00CF62C9" w:rsidRDefault="00833B11" w:rsidP="00833B11">
            <w:pPr>
              <w:jc w:val="center"/>
              <w:rPr>
                <w:rFonts w:ascii="Tahoma" w:hAnsi="Tahoma" w:cs="Tahoma"/>
                <w:b/>
                <w:bCs/>
                <w:sz w:val="18"/>
                <w:szCs w:val="18"/>
              </w:rPr>
            </w:pPr>
            <w:r w:rsidRPr="00CF62C9">
              <w:rPr>
                <w:rFonts w:ascii="Tahoma" w:hAnsi="Tahoma" w:cs="Tahoma"/>
                <w:b/>
                <w:bCs/>
                <w:sz w:val="18"/>
                <w:szCs w:val="18"/>
              </w:rPr>
              <w:t>N</w:t>
            </w:r>
          </w:p>
        </w:tc>
        <w:tc>
          <w:tcPr>
            <w:tcW w:w="240" w:type="dxa"/>
            <w:tcBorders>
              <w:top w:val="nil"/>
              <w:left w:val="nil"/>
              <w:bottom w:val="nil"/>
              <w:right w:val="nil"/>
            </w:tcBorders>
            <w:shd w:val="clear" w:color="000000" w:fill="FFFFFF"/>
            <w:noWrap/>
            <w:vAlign w:val="bottom"/>
            <w:hideMark/>
          </w:tcPr>
          <w:p w:rsidR="00833B11" w:rsidRPr="00CF62C9" w:rsidRDefault="00833B11"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SE/CO/Acre/Rondônia</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S</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NE</w:t>
            </w:r>
          </w:p>
        </w:tc>
        <w:tc>
          <w:tcPr>
            <w:tcW w:w="900" w:type="dxa"/>
            <w:tcBorders>
              <w:top w:val="nil"/>
              <w:left w:val="nil"/>
              <w:bottom w:val="nil"/>
              <w:right w:val="nil"/>
            </w:tcBorders>
            <w:shd w:val="clear" w:color="000000" w:fill="FFFFFF"/>
            <w:vAlign w:val="bottom"/>
            <w:hideMark/>
          </w:tcPr>
          <w:p w:rsidR="00833B11" w:rsidRPr="00B47212" w:rsidRDefault="00833B11" w:rsidP="00833B11">
            <w:pPr>
              <w:jc w:val="center"/>
              <w:rPr>
                <w:rFonts w:ascii="Tahoma" w:hAnsi="Tahoma" w:cs="Tahoma"/>
                <w:b/>
                <w:bCs/>
                <w:sz w:val="18"/>
                <w:szCs w:val="18"/>
              </w:rPr>
            </w:pPr>
            <w:r w:rsidRPr="00B47212">
              <w:rPr>
                <w:rFonts w:ascii="Tahoma" w:hAnsi="Tahoma" w:cs="Tahoma"/>
                <w:b/>
                <w:bCs/>
                <w:sz w:val="18"/>
                <w:szCs w:val="18"/>
              </w:rPr>
              <w:t>N</w:t>
            </w:r>
          </w:p>
        </w:tc>
      </w:tr>
      <w:tr w:rsidR="00B47212" w:rsidRPr="00B47212" w:rsidTr="003466B0">
        <w:trPr>
          <w:trHeight w:val="270"/>
        </w:trPr>
        <w:tc>
          <w:tcPr>
            <w:tcW w:w="2220" w:type="dxa"/>
            <w:tcBorders>
              <w:top w:val="nil"/>
              <w:left w:val="nil"/>
              <w:bottom w:val="single" w:sz="8" w:space="0" w:color="000000"/>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39.879</w:t>
            </w:r>
          </w:p>
        </w:tc>
        <w:tc>
          <w:tcPr>
            <w:tcW w:w="900" w:type="dxa"/>
            <w:tcBorders>
              <w:top w:val="nil"/>
              <w:left w:val="nil"/>
              <w:bottom w:val="single" w:sz="8" w:space="0" w:color="000000"/>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10.243</w:t>
            </w:r>
          </w:p>
        </w:tc>
        <w:tc>
          <w:tcPr>
            <w:tcW w:w="900" w:type="dxa"/>
            <w:tcBorders>
              <w:top w:val="nil"/>
              <w:left w:val="nil"/>
              <w:bottom w:val="single" w:sz="8" w:space="0" w:color="000000"/>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11.360</w:t>
            </w:r>
          </w:p>
        </w:tc>
        <w:tc>
          <w:tcPr>
            <w:tcW w:w="900" w:type="dxa"/>
            <w:tcBorders>
              <w:top w:val="nil"/>
              <w:left w:val="nil"/>
              <w:bottom w:val="single" w:sz="8" w:space="0" w:color="000000"/>
              <w:right w:val="nil"/>
            </w:tcBorders>
            <w:shd w:val="clear" w:color="000000" w:fill="FFFFFF"/>
            <w:vAlign w:val="center"/>
          </w:tcPr>
          <w:p w:rsidR="003466B0" w:rsidRPr="00CF62C9" w:rsidRDefault="003466B0" w:rsidP="00200374">
            <w:pPr>
              <w:jc w:val="center"/>
              <w:rPr>
                <w:rFonts w:ascii="Tahoma" w:hAnsi="Tahoma" w:cs="Tahoma"/>
                <w:sz w:val="18"/>
                <w:szCs w:val="18"/>
              </w:rPr>
            </w:pPr>
            <w:r w:rsidRPr="00CF62C9">
              <w:rPr>
                <w:rFonts w:ascii="Tahoma" w:hAnsi="Tahoma" w:cs="Tahoma"/>
                <w:sz w:val="18"/>
                <w:szCs w:val="18"/>
              </w:rPr>
              <w:t>7.068</w:t>
            </w:r>
          </w:p>
        </w:tc>
        <w:tc>
          <w:tcPr>
            <w:tcW w:w="240" w:type="dxa"/>
            <w:tcBorders>
              <w:top w:val="nil"/>
              <w:left w:val="nil"/>
              <w:bottom w:val="nil"/>
              <w:right w:val="nil"/>
            </w:tcBorders>
            <w:shd w:val="clear" w:color="000000" w:fill="FFFFFF"/>
            <w:noWrap/>
            <w:vAlign w:val="bottom"/>
            <w:hideMark/>
          </w:tcPr>
          <w:p w:rsidR="003466B0" w:rsidRPr="00CF62C9" w:rsidRDefault="003466B0" w:rsidP="00833B11">
            <w:pPr>
              <w:rPr>
                <w:rFonts w:ascii="Arial" w:hAnsi="Arial" w:cs="Arial"/>
                <w:sz w:val="18"/>
                <w:szCs w:val="18"/>
              </w:rPr>
            </w:pPr>
            <w:r w:rsidRPr="00CF62C9">
              <w:rPr>
                <w:rFonts w:ascii="Arial" w:hAnsi="Arial" w:cs="Arial"/>
                <w:sz w:val="18"/>
                <w:szCs w:val="18"/>
              </w:rPr>
              <w:t> </w:t>
            </w:r>
          </w:p>
        </w:tc>
        <w:tc>
          <w:tcPr>
            <w:tcW w:w="2220" w:type="dxa"/>
            <w:tcBorders>
              <w:top w:val="nil"/>
              <w:left w:val="nil"/>
              <w:bottom w:val="single" w:sz="8" w:space="0" w:color="000000"/>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39.8</w:t>
            </w:r>
            <w:r w:rsidR="00B47212" w:rsidRPr="00B47212">
              <w:rPr>
                <w:rFonts w:ascii="Tahoma" w:hAnsi="Tahoma" w:cs="Tahoma"/>
                <w:sz w:val="18"/>
                <w:szCs w:val="18"/>
              </w:rPr>
              <w:t>55</w:t>
            </w:r>
          </w:p>
        </w:tc>
        <w:tc>
          <w:tcPr>
            <w:tcW w:w="900" w:type="dxa"/>
            <w:tcBorders>
              <w:top w:val="nil"/>
              <w:left w:val="nil"/>
              <w:bottom w:val="single" w:sz="8" w:space="0" w:color="000000"/>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10.2</w:t>
            </w:r>
            <w:r w:rsidR="00B47212" w:rsidRPr="00B47212">
              <w:rPr>
                <w:rFonts w:ascii="Tahoma" w:hAnsi="Tahoma" w:cs="Tahoma"/>
                <w:sz w:val="18"/>
                <w:szCs w:val="18"/>
              </w:rPr>
              <w:t>37</w:t>
            </w:r>
          </w:p>
        </w:tc>
        <w:tc>
          <w:tcPr>
            <w:tcW w:w="900" w:type="dxa"/>
            <w:tcBorders>
              <w:top w:val="nil"/>
              <w:left w:val="nil"/>
              <w:bottom w:val="single" w:sz="8" w:space="0" w:color="000000"/>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11.</w:t>
            </w:r>
            <w:r w:rsidR="00B47212" w:rsidRPr="00B47212">
              <w:rPr>
                <w:rFonts w:ascii="Tahoma" w:hAnsi="Tahoma" w:cs="Tahoma"/>
                <w:sz w:val="18"/>
                <w:szCs w:val="18"/>
              </w:rPr>
              <w:t>379</w:t>
            </w:r>
          </w:p>
        </w:tc>
        <w:tc>
          <w:tcPr>
            <w:tcW w:w="900" w:type="dxa"/>
            <w:tcBorders>
              <w:top w:val="nil"/>
              <w:left w:val="nil"/>
              <w:bottom w:val="single" w:sz="8" w:space="0" w:color="000000"/>
              <w:right w:val="nil"/>
            </w:tcBorders>
            <w:shd w:val="clear" w:color="000000" w:fill="FFFFFF"/>
            <w:vAlign w:val="center"/>
          </w:tcPr>
          <w:p w:rsidR="003466B0" w:rsidRPr="00B47212" w:rsidRDefault="003466B0" w:rsidP="00B47212">
            <w:pPr>
              <w:jc w:val="center"/>
              <w:rPr>
                <w:rFonts w:ascii="Tahoma" w:hAnsi="Tahoma" w:cs="Tahoma"/>
                <w:sz w:val="18"/>
                <w:szCs w:val="18"/>
              </w:rPr>
            </w:pPr>
            <w:r w:rsidRPr="00B47212">
              <w:rPr>
                <w:rFonts w:ascii="Tahoma" w:hAnsi="Tahoma" w:cs="Tahoma"/>
                <w:sz w:val="18"/>
                <w:szCs w:val="18"/>
              </w:rPr>
              <w:t>7.</w:t>
            </w:r>
            <w:r w:rsidR="00B47212" w:rsidRPr="00B47212">
              <w:rPr>
                <w:rFonts w:ascii="Tahoma" w:hAnsi="Tahoma" w:cs="Tahoma"/>
                <w:sz w:val="18"/>
                <w:szCs w:val="18"/>
              </w:rPr>
              <w:t>080</w:t>
            </w:r>
          </w:p>
        </w:tc>
      </w:tr>
      <w:tr w:rsidR="00AA683E" w:rsidRPr="00B47212" w:rsidTr="00146C31">
        <w:trPr>
          <w:trHeight w:val="255"/>
        </w:trPr>
        <w:tc>
          <w:tcPr>
            <w:tcW w:w="3120" w:type="dxa"/>
            <w:gridSpan w:val="2"/>
            <w:tcBorders>
              <w:top w:val="nil"/>
              <w:left w:val="nil"/>
              <w:bottom w:val="nil"/>
              <w:right w:val="nil"/>
            </w:tcBorders>
            <w:shd w:val="clear" w:color="000000" w:fill="FFC000"/>
            <w:vAlign w:val="bottom"/>
            <w:hideMark/>
          </w:tcPr>
          <w:p w:rsidR="008220F4" w:rsidRPr="00CF62C9" w:rsidRDefault="008220F4" w:rsidP="00833B11">
            <w:pPr>
              <w:rPr>
                <w:rFonts w:ascii="Tahoma" w:hAnsi="Tahoma" w:cs="Tahoma"/>
                <w:b/>
                <w:bCs/>
                <w:sz w:val="18"/>
                <w:szCs w:val="18"/>
              </w:rPr>
            </w:pPr>
            <w:r w:rsidRPr="00CF62C9">
              <w:rPr>
                <w:rFonts w:ascii="Tahoma" w:hAnsi="Tahoma" w:cs="Tahoma"/>
                <w:b/>
                <w:bCs/>
                <w:sz w:val="18"/>
                <w:szCs w:val="18"/>
              </w:rPr>
              <w:t>Carga Brasil</w:t>
            </w:r>
          </w:p>
        </w:tc>
        <w:tc>
          <w:tcPr>
            <w:tcW w:w="900" w:type="dxa"/>
            <w:tcBorders>
              <w:top w:val="nil"/>
              <w:left w:val="nil"/>
              <w:bottom w:val="nil"/>
              <w:right w:val="nil"/>
            </w:tcBorders>
            <w:shd w:val="clear" w:color="000000" w:fill="FFFFFF"/>
            <w:vAlign w:val="center"/>
          </w:tcPr>
          <w:p w:rsidR="008220F4" w:rsidRPr="00CF62C9" w:rsidRDefault="00BA392A" w:rsidP="00BA2A1C">
            <w:pPr>
              <w:jc w:val="center"/>
              <w:rPr>
                <w:rFonts w:ascii="Tahoma" w:hAnsi="Tahoma" w:cs="Tahoma"/>
                <w:b/>
                <w:sz w:val="18"/>
                <w:szCs w:val="18"/>
              </w:rPr>
            </w:pPr>
            <w:r w:rsidRPr="00CF62C9">
              <w:rPr>
                <w:rFonts w:ascii="Tahoma" w:hAnsi="Tahoma" w:cs="Tahoma"/>
                <w:b/>
                <w:sz w:val="18"/>
                <w:szCs w:val="18"/>
              </w:rPr>
              <w:t>6</w:t>
            </w:r>
            <w:r w:rsidR="00BA2A1C" w:rsidRPr="00CF62C9">
              <w:rPr>
                <w:rFonts w:ascii="Tahoma" w:hAnsi="Tahoma" w:cs="Tahoma"/>
                <w:b/>
                <w:sz w:val="18"/>
                <w:szCs w:val="18"/>
              </w:rPr>
              <w:t>8</w:t>
            </w:r>
            <w:r w:rsidRPr="00CF62C9">
              <w:rPr>
                <w:rFonts w:ascii="Tahoma" w:hAnsi="Tahoma" w:cs="Tahoma"/>
                <w:b/>
                <w:sz w:val="18"/>
                <w:szCs w:val="18"/>
              </w:rPr>
              <w:t>.5</w:t>
            </w:r>
            <w:r w:rsidR="00BA2A1C" w:rsidRPr="00CF62C9">
              <w:rPr>
                <w:rFonts w:ascii="Tahoma" w:hAnsi="Tahoma" w:cs="Tahoma"/>
                <w:b/>
                <w:sz w:val="18"/>
                <w:szCs w:val="18"/>
              </w:rPr>
              <w:t>5</w:t>
            </w:r>
            <w:r w:rsidRPr="00CF62C9">
              <w:rPr>
                <w:rFonts w:ascii="Tahoma" w:hAnsi="Tahoma" w:cs="Tahoma"/>
                <w:b/>
                <w:sz w:val="18"/>
                <w:szCs w:val="18"/>
              </w:rPr>
              <w:t>0</w:t>
            </w:r>
          </w:p>
        </w:tc>
        <w:tc>
          <w:tcPr>
            <w:tcW w:w="900" w:type="dxa"/>
            <w:tcBorders>
              <w:top w:val="nil"/>
              <w:left w:val="nil"/>
              <w:bottom w:val="nil"/>
              <w:right w:val="nil"/>
            </w:tcBorders>
            <w:shd w:val="clear" w:color="000000" w:fill="FFFFFF"/>
            <w:vAlign w:val="bottom"/>
            <w:hideMark/>
          </w:tcPr>
          <w:p w:rsidR="008220F4" w:rsidRPr="00CF62C9" w:rsidRDefault="008220F4" w:rsidP="00833B11">
            <w:pPr>
              <w:jc w:val="center"/>
              <w:rPr>
                <w:rFonts w:ascii="Tahoma" w:hAnsi="Tahoma" w:cs="Tahoma"/>
                <w:sz w:val="18"/>
                <w:szCs w:val="18"/>
              </w:rPr>
            </w:pPr>
            <w:r w:rsidRPr="00CF62C9">
              <w:rPr>
                <w:rFonts w:ascii="Tahoma" w:hAnsi="Tahoma" w:cs="Tahoma"/>
                <w:sz w:val="18"/>
                <w:szCs w:val="18"/>
              </w:rPr>
              <w:t>MWmed</w:t>
            </w:r>
          </w:p>
        </w:tc>
        <w:tc>
          <w:tcPr>
            <w:tcW w:w="240" w:type="dxa"/>
            <w:tcBorders>
              <w:top w:val="nil"/>
              <w:left w:val="nil"/>
              <w:bottom w:val="nil"/>
              <w:right w:val="nil"/>
            </w:tcBorders>
            <w:shd w:val="clear" w:color="000000" w:fill="FFFFFF"/>
            <w:noWrap/>
            <w:hideMark/>
          </w:tcPr>
          <w:p w:rsidR="008220F4" w:rsidRPr="00CF62C9" w:rsidRDefault="008220F4" w:rsidP="00833B11">
            <w:pPr>
              <w:rPr>
                <w:rFonts w:ascii="Arial" w:hAnsi="Arial" w:cs="Arial"/>
                <w:sz w:val="18"/>
                <w:szCs w:val="18"/>
              </w:rPr>
            </w:pPr>
          </w:p>
        </w:tc>
        <w:tc>
          <w:tcPr>
            <w:tcW w:w="3120" w:type="dxa"/>
            <w:gridSpan w:val="2"/>
            <w:tcBorders>
              <w:top w:val="nil"/>
              <w:left w:val="nil"/>
              <w:bottom w:val="nil"/>
              <w:right w:val="nil"/>
            </w:tcBorders>
            <w:shd w:val="clear" w:color="auto" w:fill="auto"/>
            <w:vAlign w:val="bottom"/>
            <w:hideMark/>
          </w:tcPr>
          <w:p w:rsidR="008220F4" w:rsidRPr="00B47212" w:rsidRDefault="008220F4" w:rsidP="00833B11">
            <w:pPr>
              <w:rPr>
                <w:rFonts w:ascii="Tahoma" w:hAnsi="Tahoma" w:cs="Tahoma"/>
                <w:b/>
                <w:bCs/>
                <w:sz w:val="18"/>
                <w:szCs w:val="18"/>
              </w:rPr>
            </w:pPr>
            <w:r w:rsidRPr="00B47212">
              <w:rPr>
                <w:rFonts w:ascii="Tahoma" w:hAnsi="Tahoma" w:cs="Tahoma"/>
                <w:b/>
                <w:bCs/>
                <w:sz w:val="18"/>
                <w:szCs w:val="18"/>
              </w:rPr>
              <w:t>Carga Brasil</w:t>
            </w:r>
          </w:p>
        </w:tc>
        <w:tc>
          <w:tcPr>
            <w:tcW w:w="900" w:type="dxa"/>
            <w:tcBorders>
              <w:top w:val="nil"/>
              <w:left w:val="nil"/>
              <w:bottom w:val="nil"/>
              <w:right w:val="nil"/>
            </w:tcBorders>
            <w:shd w:val="clear" w:color="auto" w:fill="auto"/>
          </w:tcPr>
          <w:p w:rsidR="008220F4" w:rsidRPr="00B47212" w:rsidRDefault="003466B0" w:rsidP="00B47212">
            <w:pPr>
              <w:rPr>
                <w:rFonts w:ascii="Tahoma" w:hAnsi="Tahoma" w:cs="Tahoma"/>
                <w:b/>
                <w:sz w:val="18"/>
                <w:szCs w:val="18"/>
              </w:rPr>
            </w:pPr>
            <w:r w:rsidRPr="00B47212">
              <w:rPr>
                <w:rFonts w:ascii="Tahoma" w:hAnsi="Tahoma" w:cs="Tahoma"/>
                <w:b/>
                <w:sz w:val="18"/>
                <w:szCs w:val="18"/>
              </w:rPr>
              <w:t>68</w:t>
            </w:r>
            <w:r w:rsidR="006D51FA" w:rsidRPr="00B47212">
              <w:rPr>
                <w:rFonts w:ascii="Tahoma" w:hAnsi="Tahoma" w:cs="Tahoma"/>
                <w:b/>
                <w:sz w:val="18"/>
                <w:szCs w:val="18"/>
              </w:rPr>
              <w:t>.</w:t>
            </w:r>
            <w:r w:rsidR="00B47212" w:rsidRPr="00B47212">
              <w:rPr>
                <w:rFonts w:ascii="Tahoma" w:hAnsi="Tahoma" w:cs="Tahoma"/>
                <w:b/>
                <w:sz w:val="18"/>
                <w:szCs w:val="18"/>
              </w:rPr>
              <w:t>550</w:t>
            </w:r>
          </w:p>
        </w:tc>
        <w:tc>
          <w:tcPr>
            <w:tcW w:w="900" w:type="dxa"/>
            <w:tcBorders>
              <w:top w:val="nil"/>
              <w:left w:val="nil"/>
              <w:bottom w:val="nil"/>
              <w:right w:val="nil"/>
            </w:tcBorders>
            <w:shd w:val="clear" w:color="auto" w:fill="auto"/>
            <w:vAlign w:val="bottom"/>
            <w:hideMark/>
          </w:tcPr>
          <w:p w:rsidR="008220F4" w:rsidRPr="00B47212" w:rsidRDefault="008220F4" w:rsidP="00833B11">
            <w:pPr>
              <w:jc w:val="center"/>
              <w:rPr>
                <w:rFonts w:ascii="Tahoma" w:hAnsi="Tahoma" w:cs="Tahoma"/>
                <w:sz w:val="18"/>
                <w:szCs w:val="18"/>
              </w:rPr>
            </w:pPr>
            <w:r w:rsidRPr="00B47212">
              <w:rPr>
                <w:rFonts w:ascii="Tahoma" w:hAnsi="Tahoma" w:cs="Tahoma"/>
                <w:sz w:val="18"/>
                <w:szCs w:val="18"/>
              </w:rPr>
              <w:t>MWmed</w:t>
            </w:r>
          </w:p>
        </w:tc>
      </w:tr>
      <w:tr w:rsidR="00AA683E" w:rsidRPr="00B47212" w:rsidTr="00146C31">
        <w:trPr>
          <w:trHeight w:val="255"/>
        </w:trPr>
        <w:tc>
          <w:tcPr>
            <w:tcW w:w="3120" w:type="dxa"/>
            <w:gridSpan w:val="2"/>
            <w:tcBorders>
              <w:top w:val="nil"/>
              <w:left w:val="nil"/>
              <w:bottom w:val="nil"/>
              <w:right w:val="nil"/>
            </w:tcBorders>
            <w:shd w:val="clear" w:color="000000" w:fill="FFC000"/>
            <w:vAlign w:val="bottom"/>
            <w:hideMark/>
          </w:tcPr>
          <w:p w:rsidR="008220F4" w:rsidRPr="00CF62C9" w:rsidRDefault="008220F4" w:rsidP="00833B11">
            <w:pPr>
              <w:rPr>
                <w:rFonts w:ascii="Tahoma" w:hAnsi="Tahoma" w:cs="Tahoma"/>
                <w:b/>
                <w:bCs/>
                <w:sz w:val="18"/>
                <w:szCs w:val="18"/>
              </w:rPr>
            </w:pPr>
            <w:r w:rsidRPr="00CF62C9">
              <w:rPr>
                <w:rFonts w:ascii="Tahoma" w:hAnsi="Tahoma" w:cs="Tahoma"/>
                <w:b/>
                <w:bCs/>
                <w:sz w:val="18"/>
                <w:szCs w:val="18"/>
              </w:rPr>
              <w:t>Fator Hidráulico</w:t>
            </w:r>
          </w:p>
        </w:tc>
        <w:tc>
          <w:tcPr>
            <w:tcW w:w="900" w:type="dxa"/>
            <w:tcBorders>
              <w:top w:val="nil"/>
              <w:left w:val="nil"/>
              <w:bottom w:val="nil"/>
              <w:right w:val="nil"/>
            </w:tcBorders>
            <w:shd w:val="clear" w:color="000000" w:fill="FFFFFF"/>
            <w:vAlign w:val="center"/>
          </w:tcPr>
          <w:p w:rsidR="008220F4" w:rsidRPr="00CF62C9" w:rsidRDefault="00BA2A1C" w:rsidP="00200374">
            <w:pPr>
              <w:jc w:val="center"/>
              <w:rPr>
                <w:rFonts w:ascii="Tahoma" w:hAnsi="Tahoma" w:cs="Tahoma"/>
                <w:sz w:val="18"/>
                <w:szCs w:val="18"/>
              </w:rPr>
            </w:pPr>
            <w:r w:rsidRPr="00CF62C9">
              <w:rPr>
                <w:rFonts w:ascii="Tahoma" w:hAnsi="Tahoma" w:cs="Tahoma"/>
                <w:sz w:val="18"/>
                <w:szCs w:val="18"/>
              </w:rPr>
              <w:t>81</w:t>
            </w:r>
            <w:r w:rsidR="00BA392A" w:rsidRPr="00CF62C9">
              <w:rPr>
                <w:rFonts w:ascii="Tahoma" w:hAnsi="Tahoma" w:cs="Tahoma"/>
                <w:sz w:val="18"/>
                <w:szCs w:val="18"/>
              </w:rPr>
              <w:t>,</w:t>
            </w:r>
            <w:r w:rsidRPr="00CF62C9">
              <w:rPr>
                <w:rFonts w:ascii="Tahoma" w:hAnsi="Tahoma" w:cs="Tahoma"/>
                <w:sz w:val="18"/>
                <w:szCs w:val="18"/>
              </w:rPr>
              <w:t>22</w:t>
            </w:r>
          </w:p>
        </w:tc>
        <w:tc>
          <w:tcPr>
            <w:tcW w:w="900" w:type="dxa"/>
            <w:tcBorders>
              <w:top w:val="nil"/>
              <w:left w:val="nil"/>
              <w:bottom w:val="nil"/>
              <w:right w:val="nil"/>
            </w:tcBorders>
            <w:shd w:val="clear" w:color="000000" w:fill="FFFFFF"/>
            <w:vAlign w:val="bottom"/>
            <w:hideMark/>
          </w:tcPr>
          <w:p w:rsidR="008220F4" w:rsidRPr="00CF62C9" w:rsidRDefault="00BA392A" w:rsidP="00833B11">
            <w:pPr>
              <w:jc w:val="center"/>
              <w:rPr>
                <w:rFonts w:ascii="Tahoma" w:hAnsi="Tahoma" w:cs="Tahoma"/>
                <w:sz w:val="18"/>
                <w:szCs w:val="18"/>
              </w:rPr>
            </w:pPr>
            <w:r w:rsidRPr="00CF62C9">
              <w:rPr>
                <w:rFonts w:ascii="Tahoma" w:hAnsi="Tahoma" w:cs="Tahoma"/>
                <w:sz w:val="18"/>
                <w:szCs w:val="18"/>
              </w:rPr>
              <w:t>%</w:t>
            </w:r>
            <w:r w:rsidR="008220F4" w:rsidRPr="00CF62C9">
              <w:rPr>
                <w:rFonts w:ascii="Tahoma" w:hAnsi="Tahoma" w:cs="Tahoma"/>
                <w:sz w:val="18"/>
                <w:szCs w:val="18"/>
              </w:rPr>
              <w:t> </w:t>
            </w:r>
          </w:p>
        </w:tc>
        <w:tc>
          <w:tcPr>
            <w:tcW w:w="240" w:type="dxa"/>
            <w:tcBorders>
              <w:top w:val="nil"/>
              <w:left w:val="nil"/>
              <w:bottom w:val="nil"/>
              <w:right w:val="nil"/>
            </w:tcBorders>
            <w:shd w:val="clear" w:color="000000" w:fill="FFFFFF"/>
            <w:noWrap/>
            <w:hideMark/>
          </w:tcPr>
          <w:p w:rsidR="008220F4" w:rsidRPr="00CF62C9" w:rsidRDefault="008220F4" w:rsidP="00833B11">
            <w:pPr>
              <w:rPr>
                <w:rFonts w:ascii="Arial" w:hAnsi="Arial" w:cs="Arial"/>
                <w:sz w:val="18"/>
                <w:szCs w:val="18"/>
              </w:rPr>
            </w:pPr>
          </w:p>
        </w:tc>
        <w:tc>
          <w:tcPr>
            <w:tcW w:w="3120" w:type="dxa"/>
            <w:gridSpan w:val="2"/>
            <w:tcBorders>
              <w:top w:val="nil"/>
              <w:left w:val="nil"/>
              <w:bottom w:val="nil"/>
              <w:right w:val="nil"/>
            </w:tcBorders>
            <w:shd w:val="clear" w:color="000000" w:fill="FFC000"/>
            <w:vAlign w:val="bottom"/>
            <w:hideMark/>
          </w:tcPr>
          <w:p w:rsidR="008220F4" w:rsidRPr="00B47212" w:rsidRDefault="008220F4" w:rsidP="00833B11">
            <w:pPr>
              <w:rPr>
                <w:rFonts w:ascii="Tahoma" w:hAnsi="Tahoma" w:cs="Tahoma"/>
                <w:b/>
                <w:bCs/>
                <w:sz w:val="18"/>
                <w:szCs w:val="18"/>
              </w:rPr>
            </w:pPr>
            <w:r w:rsidRPr="00B47212">
              <w:rPr>
                <w:rFonts w:ascii="Tahoma" w:hAnsi="Tahoma" w:cs="Tahoma"/>
                <w:b/>
                <w:bCs/>
                <w:sz w:val="18"/>
                <w:szCs w:val="18"/>
              </w:rPr>
              <w:t>Fator Hidráulico</w:t>
            </w:r>
          </w:p>
        </w:tc>
        <w:tc>
          <w:tcPr>
            <w:tcW w:w="900" w:type="dxa"/>
            <w:tcBorders>
              <w:top w:val="nil"/>
              <w:left w:val="nil"/>
              <w:bottom w:val="nil"/>
              <w:right w:val="nil"/>
            </w:tcBorders>
            <w:shd w:val="clear" w:color="000000" w:fill="FFFFFF"/>
          </w:tcPr>
          <w:p w:rsidR="008220F4" w:rsidRPr="00B47212" w:rsidRDefault="003466B0" w:rsidP="00B47212">
            <w:pPr>
              <w:jc w:val="center"/>
              <w:rPr>
                <w:rFonts w:ascii="Tahoma" w:hAnsi="Tahoma" w:cs="Tahoma"/>
                <w:sz w:val="18"/>
                <w:szCs w:val="18"/>
              </w:rPr>
            </w:pPr>
            <w:r w:rsidRPr="00B47212">
              <w:rPr>
                <w:rFonts w:ascii="Tahoma" w:hAnsi="Tahoma" w:cs="Tahoma"/>
                <w:sz w:val="18"/>
                <w:szCs w:val="18"/>
              </w:rPr>
              <w:t>8</w:t>
            </w:r>
            <w:r w:rsidR="00B47212" w:rsidRPr="00B47212">
              <w:rPr>
                <w:rFonts w:ascii="Tahoma" w:hAnsi="Tahoma" w:cs="Tahoma"/>
                <w:sz w:val="18"/>
                <w:szCs w:val="18"/>
              </w:rPr>
              <w:t>1</w:t>
            </w:r>
            <w:r w:rsidR="006D51FA" w:rsidRPr="00B47212">
              <w:rPr>
                <w:rFonts w:ascii="Tahoma" w:hAnsi="Tahoma" w:cs="Tahoma"/>
                <w:sz w:val="18"/>
                <w:szCs w:val="18"/>
              </w:rPr>
              <w:t>,</w:t>
            </w:r>
            <w:r w:rsidR="00B47212" w:rsidRPr="00B47212">
              <w:rPr>
                <w:rFonts w:ascii="Tahoma" w:hAnsi="Tahoma" w:cs="Tahoma"/>
                <w:sz w:val="18"/>
                <w:szCs w:val="18"/>
              </w:rPr>
              <w:t>2</w:t>
            </w:r>
            <w:r w:rsidRPr="00B47212">
              <w:rPr>
                <w:rFonts w:ascii="Tahoma" w:hAnsi="Tahoma" w:cs="Tahoma"/>
                <w:sz w:val="18"/>
                <w:szCs w:val="18"/>
              </w:rPr>
              <w:t>5</w:t>
            </w:r>
          </w:p>
        </w:tc>
        <w:tc>
          <w:tcPr>
            <w:tcW w:w="900" w:type="dxa"/>
            <w:tcBorders>
              <w:top w:val="nil"/>
              <w:left w:val="nil"/>
              <w:bottom w:val="nil"/>
              <w:right w:val="nil"/>
            </w:tcBorders>
            <w:shd w:val="clear" w:color="000000" w:fill="FFFFFF"/>
            <w:vAlign w:val="bottom"/>
            <w:hideMark/>
          </w:tcPr>
          <w:p w:rsidR="008220F4" w:rsidRPr="00B47212" w:rsidRDefault="008220F4" w:rsidP="00833B11">
            <w:pPr>
              <w:jc w:val="center"/>
              <w:rPr>
                <w:rFonts w:ascii="Tahoma" w:hAnsi="Tahoma" w:cs="Tahoma"/>
                <w:sz w:val="18"/>
                <w:szCs w:val="18"/>
              </w:rPr>
            </w:pPr>
            <w:r w:rsidRPr="00B47212">
              <w:rPr>
                <w:rFonts w:ascii="Tahoma" w:hAnsi="Tahoma" w:cs="Tahoma"/>
                <w:sz w:val="18"/>
                <w:szCs w:val="18"/>
              </w:rPr>
              <w:t> </w:t>
            </w:r>
            <w:r w:rsidR="006D51FA" w:rsidRPr="00B47212">
              <w:rPr>
                <w:rFonts w:ascii="Tahoma" w:hAnsi="Tahoma" w:cs="Tahoma"/>
                <w:sz w:val="18"/>
                <w:szCs w:val="18"/>
              </w:rPr>
              <w:t>%</w:t>
            </w:r>
          </w:p>
        </w:tc>
      </w:tr>
      <w:tr w:rsidR="00AA683E" w:rsidRPr="00B47212" w:rsidTr="00146C31">
        <w:trPr>
          <w:trHeight w:val="255"/>
        </w:trPr>
        <w:tc>
          <w:tcPr>
            <w:tcW w:w="3120" w:type="dxa"/>
            <w:gridSpan w:val="2"/>
            <w:tcBorders>
              <w:top w:val="nil"/>
              <w:left w:val="nil"/>
              <w:bottom w:val="nil"/>
              <w:right w:val="nil"/>
            </w:tcBorders>
            <w:shd w:val="clear" w:color="000000" w:fill="FFC000"/>
            <w:vAlign w:val="bottom"/>
            <w:hideMark/>
          </w:tcPr>
          <w:p w:rsidR="008220F4" w:rsidRPr="00CF62C9" w:rsidRDefault="008220F4" w:rsidP="00833B11">
            <w:pPr>
              <w:rPr>
                <w:rFonts w:ascii="Tahoma" w:hAnsi="Tahoma" w:cs="Tahoma"/>
                <w:b/>
                <w:bCs/>
                <w:sz w:val="18"/>
                <w:szCs w:val="18"/>
              </w:rPr>
            </w:pPr>
            <w:r w:rsidRPr="00CF62C9">
              <w:rPr>
                <w:rFonts w:ascii="Tahoma" w:hAnsi="Tahoma" w:cs="Tahoma"/>
                <w:b/>
                <w:bCs/>
                <w:sz w:val="18"/>
                <w:szCs w:val="18"/>
              </w:rPr>
              <w:t>Bloco Hidráulico</w:t>
            </w:r>
          </w:p>
        </w:tc>
        <w:tc>
          <w:tcPr>
            <w:tcW w:w="900" w:type="dxa"/>
            <w:tcBorders>
              <w:top w:val="nil"/>
              <w:left w:val="nil"/>
              <w:bottom w:val="nil"/>
              <w:right w:val="nil"/>
            </w:tcBorders>
            <w:shd w:val="clear" w:color="000000" w:fill="FFFFFF"/>
            <w:vAlign w:val="center"/>
          </w:tcPr>
          <w:p w:rsidR="008220F4" w:rsidRPr="00CF62C9" w:rsidRDefault="00BA2A1C" w:rsidP="00200374">
            <w:pPr>
              <w:jc w:val="center"/>
              <w:rPr>
                <w:rFonts w:ascii="Tahoma" w:hAnsi="Tahoma" w:cs="Tahoma"/>
                <w:sz w:val="18"/>
                <w:szCs w:val="18"/>
              </w:rPr>
            </w:pPr>
            <w:r w:rsidRPr="00CF62C9">
              <w:rPr>
                <w:rFonts w:ascii="Tahoma" w:hAnsi="Tahoma" w:cs="Tahoma"/>
                <w:sz w:val="18"/>
                <w:szCs w:val="18"/>
              </w:rPr>
              <w:t>55.677,8</w:t>
            </w:r>
          </w:p>
        </w:tc>
        <w:tc>
          <w:tcPr>
            <w:tcW w:w="900" w:type="dxa"/>
            <w:tcBorders>
              <w:top w:val="nil"/>
              <w:left w:val="nil"/>
              <w:bottom w:val="nil"/>
              <w:right w:val="nil"/>
            </w:tcBorders>
            <w:shd w:val="clear" w:color="000000" w:fill="FFFFFF"/>
            <w:hideMark/>
          </w:tcPr>
          <w:p w:rsidR="008220F4" w:rsidRPr="00CF62C9" w:rsidRDefault="008220F4" w:rsidP="00833B11">
            <w:pPr>
              <w:jc w:val="center"/>
              <w:rPr>
                <w:rFonts w:ascii="Tahoma" w:hAnsi="Tahoma" w:cs="Tahoma"/>
                <w:sz w:val="18"/>
                <w:szCs w:val="18"/>
              </w:rPr>
            </w:pPr>
            <w:r w:rsidRPr="00CF62C9">
              <w:rPr>
                <w:rFonts w:ascii="Tahoma" w:hAnsi="Tahoma" w:cs="Tahoma"/>
                <w:sz w:val="18"/>
                <w:szCs w:val="18"/>
              </w:rPr>
              <w:t>MWmed</w:t>
            </w:r>
          </w:p>
        </w:tc>
        <w:tc>
          <w:tcPr>
            <w:tcW w:w="240" w:type="dxa"/>
            <w:tcBorders>
              <w:top w:val="nil"/>
              <w:left w:val="nil"/>
              <w:bottom w:val="nil"/>
              <w:right w:val="nil"/>
            </w:tcBorders>
            <w:shd w:val="clear" w:color="000000" w:fill="FFFFFF"/>
            <w:noWrap/>
            <w:hideMark/>
          </w:tcPr>
          <w:p w:rsidR="008220F4" w:rsidRPr="00CF62C9" w:rsidRDefault="008220F4" w:rsidP="00833B11">
            <w:pPr>
              <w:rPr>
                <w:rFonts w:ascii="Arial" w:hAnsi="Arial" w:cs="Arial"/>
                <w:sz w:val="18"/>
                <w:szCs w:val="18"/>
              </w:rPr>
            </w:pPr>
          </w:p>
        </w:tc>
        <w:tc>
          <w:tcPr>
            <w:tcW w:w="3120" w:type="dxa"/>
            <w:gridSpan w:val="2"/>
            <w:tcBorders>
              <w:top w:val="nil"/>
              <w:left w:val="nil"/>
              <w:bottom w:val="nil"/>
              <w:right w:val="nil"/>
            </w:tcBorders>
            <w:shd w:val="clear" w:color="000000" w:fill="FFC000"/>
            <w:vAlign w:val="bottom"/>
            <w:hideMark/>
          </w:tcPr>
          <w:p w:rsidR="008220F4" w:rsidRPr="00B47212" w:rsidRDefault="008220F4" w:rsidP="00833B11">
            <w:pPr>
              <w:rPr>
                <w:rFonts w:ascii="Tahoma" w:hAnsi="Tahoma" w:cs="Tahoma"/>
                <w:b/>
                <w:bCs/>
                <w:sz w:val="18"/>
                <w:szCs w:val="18"/>
              </w:rPr>
            </w:pPr>
            <w:r w:rsidRPr="00B47212">
              <w:rPr>
                <w:rFonts w:ascii="Tahoma" w:hAnsi="Tahoma" w:cs="Tahoma"/>
                <w:b/>
                <w:bCs/>
                <w:sz w:val="18"/>
                <w:szCs w:val="18"/>
              </w:rPr>
              <w:t>Bloco Hidráulico</w:t>
            </w:r>
          </w:p>
        </w:tc>
        <w:tc>
          <w:tcPr>
            <w:tcW w:w="900" w:type="dxa"/>
            <w:tcBorders>
              <w:top w:val="nil"/>
              <w:left w:val="nil"/>
              <w:bottom w:val="nil"/>
              <w:right w:val="nil"/>
            </w:tcBorders>
            <w:shd w:val="clear" w:color="000000" w:fill="FFFFFF"/>
          </w:tcPr>
          <w:p w:rsidR="008220F4" w:rsidRPr="00B47212" w:rsidRDefault="006D51FA" w:rsidP="00B47212">
            <w:pPr>
              <w:jc w:val="center"/>
              <w:rPr>
                <w:rFonts w:ascii="Tahoma" w:hAnsi="Tahoma" w:cs="Tahoma"/>
                <w:sz w:val="18"/>
                <w:szCs w:val="18"/>
              </w:rPr>
            </w:pPr>
            <w:r w:rsidRPr="00B47212">
              <w:rPr>
                <w:rFonts w:ascii="Tahoma" w:hAnsi="Tahoma" w:cs="Tahoma"/>
                <w:sz w:val="18"/>
                <w:szCs w:val="18"/>
              </w:rPr>
              <w:t>55.</w:t>
            </w:r>
            <w:r w:rsidR="00B47212" w:rsidRPr="00B47212">
              <w:rPr>
                <w:rFonts w:ascii="Tahoma" w:hAnsi="Tahoma" w:cs="Tahoma"/>
                <w:sz w:val="18"/>
                <w:szCs w:val="18"/>
              </w:rPr>
              <w:t>695</w:t>
            </w:r>
            <w:r w:rsidRPr="00B47212">
              <w:rPr>
                <w:rFonts w:ascii="Tahoma" w:hAnsi="Tahoma" w:cs="Tahoma"/>
                <w:sz w:val="18"/>
                <w:szCs w:val="18"/>
              </w:rPr>
              <w:t>,0</w:t>
            </w:r>
          </w:p>
        </w:tc>
        <w:tc>
          <w:tcPr>
            <w:tcW w:w="900" w:type="dxa"/>
            <w:tcBorders>
              <w:top w:val="nil"/>
              <w:left w:val="nil"/>
              <w:bottom w:val="nil"/>
              <w:right w:val="nil"/>
            </w:tcBorders>
            <w:shd w:val="clear" w:color="000000" w:fill="FFFFFF"/>
            <w:hideMark/>
          </w:tcPr>
          <w:p w:rsidR="008220F4" w:rsidRPr="00B47212" w:rsidRDefault="008220F4" w:rsidP="00833B11">
            <w:pPr>
              <w:jc w:val="center"/>
              <w:rPr>
                <w:rFonts w:ascii="Tahoma" w:hAnsi="Tahoma" w:cs="Tahoma"/>
                <w:sz w:val="18"/>
                <w:szCs w:val="18"/>
              </w:rPr>
            </w:pPr>
            <w:r w:rsidRPr="00B47212">
              <w:rPr>
                <w:rFonts w:ascii="Tahoma" w:hAnsi="Tahoma" w:cs="Tahoma"/>
                <w:sz w:val="18"/>
                <w:szCs w:val="18"/>
              </w:rPr>
              <w:t>MWmed</w:t>
            </w:r>
          </w:p>
        </w:tc>
      </w:tr>
      <w:tr w:rsidR="00AA683E" w:rsidRPr="00B47212" w:rsidTr="00146C31">
        <w:trPr>
          <w:trHeight w:val="270"/>
        </w:trPr>
        <w:tc>
          <w:tcPr>
            <w:tcW w:w="3120" w:type="dxa"/>
            <w:gridSpan w:val="2"/>
            <w:tcBorders>
              <w:top w:val="nil"/>
              <w:left w:val="nil"/>
              <w:bottom w:val="single" w:sz="8" w:space="0" w:color="auto"/>
              <w:right w:val="nil"/>
            </w:tcBorders>
            <w:shd w:val="clear" w:color="000000" w:fill="FFC000"/>
            <w:vAlign w:val="bottom"/>
            <w:hideMark/>
          </w:tcPr>
          <w:p w:rsidR="008220F4" w:rsidRPr="00CF62C9" w:rsidRDefault="008220F4" w:rsidP="00833B11">
            <w:pPr>
              <w:rPr>
                <w:rFonts w:ascii="Tahoma" w:hAnsi="Tahoma" w:cs="Tahoma"/>
                <w:b/>
                <w:bCs/>
                <w:sz w:val="18"/>
                <w:szCs w:val="18"/>
              </w:rPr>
            </w:pPr>
            <w:r w:rsidRPr="00CF62C9">
              <w:rPr>
                <w:rFonts w:ascii="Tahoma" w:hAnsi="Tahoma" w:cs="Tahoma"/>
                <w:b/>
                <w:bCs/>
                <w:sz w:val="18"/>
                <w:szCs w:val="18"/>
              </w:rPr>
              <w:t>Bloco Térmico</w:t>
            </w:r>
          </w:p>
        </w:tc>
        <w:tc>
          <w:tcPr>
            <w:tcW w:w="900" w:type="dxa"/>
            <w:tcBorders>
              <w:top w:val="nil"/>
              <w:left w:val="nil"/>
              <w:bottom w:val="single" w:sz="8" w:space="0" w:color="auto"/>
              <w:right w:val="nil"/>
            </w:tcBorders>
            <w:shd w:val="clear" w:color="000000" w:fill="FFFFFF"/>
            <w:vAlign w:val="center"/>
          </w:tcPr>
          <w:p w:rsidR="008220F4" w:rsidRPr="00CF62C9" w:rsidRDefault="00BA2A1C" w:rsidP="00200374">
            <w:pPr>
              <w:jc w:val="center"/>
              <w:rPr>
                <w:rFonts w:ascii="Tahoma" w:hAnsi="Tahoma" w:cs="Tahoma"/>
                <w:sz w:val="18"/>
                <w:szCs w:val="18"/>
              </w:rPr>
            </w:pPr>
            <w:r w:rsidRPr="00CF62C9">
              <w:rPr>
                <w:rFonts w:ascii="Tahoma" w:hAnsi="Tahoma" w:cs="Tahoma"/>
                <w:sz w:val="18"/>
                <w:szCs w:val="18"/>
              </w:rPr>
              <w:t>12.872,2</w:t>
            </w:r>
          </w:p>
        </w:tc>
        <w:tc>
          <w:tcPr>
            <w:tcW w:w="900" w:type="dxa"/>
            <w:tcBorders>
              <w:top w:val="nil"/>
              <w:left w:val="nil"/>
              <w:bottom w:val="single" w:sz="8" w:space="0" w:color="auto"/>
              <w:right w:val="nil"/>
            </w:tcBorders>
            <w:shd w:val="clear" w:color="000000" w:fill="FFFFFF"/>
            <w:hideMark/>
          </w:tcPr>
          <w:p w:rsidR="008220F4" w:rsidRPr="00CF62C9" w:rsidRDefault="008220F4" w:rsidP="00833B11">
            <w:pPr>
              <w:jc w:val="center"/>
              <w:rPr>
                <w:rFonts w:ascii="Tahoma" w:hAnsi="Tahoma" w:cs="Tahoma"/>
                <w:sz w:val="18"/>
                <w:szCs w:val="18"/>
              </w:rPr>
            </w:pPr>
            <w:r w:rsidRPr="00CF62C9">
              <w:rPr>
                <w:rFonts w:ascii="Tahoma" w:hAnsi="Tahoma" w:cs="Tahoma"/>
                <w:sz w:val="18"/>
                <w:szCs w:val="18"/>
              </w:rPr>
              <w:t>MWmed</w:t>
            </w:r>
          </w:p>
        </w:tc>
        <w:tc>
          <w:tcPr>
            <w:tcW w:w="240" w:type="dxa"/>
            <w:tcBorders>
              <w:top w:val="nil"/>
              <w:left w:val="nil"/>
              <w:bottom w:val="nil"/>
              <w:right w:val="nil"/>
            </w:tcBorders>
            <w:shd w:val="clear" w:color="000000" w:fill="FFFFFF"/>
            <w:noWrap/>
            <w:hideMark/>
          </w:tcPr>
          <w:p w:rsidR="008220F4" w:rsidRPr="00CF62C9" w:rsidRDefault="008220F4" w:rsidP="00833B11">
            <w:pPr>
              <w:rPr>
                <w:rFonts w:ascii="Arial" w:hAnsi="Arial" w:cs="Arial"/>
                <w:sz w:val="18"/>
                <w:szCs w:val="18"/>
              </w:rPr>
            </w:pPr>
          </w:p>
        </w:tc>
        <w:tc>
          <w:tcPr>
            <w:tcW w:w="3120" w:type="dxa"/>
            <w:gridSpan w:val="2"/>
            <w:tcBorders>
              <w:top w:val="nil"/>
              <w:left w:val="nil"/>
              <w:bottom w:val="single" w:sz="8" w:space="0" w:color="auto"/>
              <w:right w:val="nil"/>
            </w:tcBorders>
            <w:shd w:val="clear" w:color="000000" w:fill="FFC000"/>
            <w:vAlign w:val="bottom"/>
            <w:hideMark/>
          </w:tcPr>
          <w:p w:rsidR="008220F4" w:rsidRPr="00B47212" w:rsidRDefault="008220F4" w:rsidP="00833B11">
            <w:pPr>
              <w:rPr>
                <w:rFonts w:ascii="Tahoma" w:hAnsi="Tahoma" w:cs="Tahoma"/>
                <w:b/>
                <w:bCs/>
                <w:sz w:val="18"/>
                <w:szCs w:val="18"/>
              </w:rPr>
            </w:pPr>
            <w:r w:rsidRPr="00B47212">
              <w:rPr>
                <w:rFonts w:ascii="Tahoma" w:hAnsi="Tahoma" w:cs="Tahoma"/>
                <w:b/>
                <w:bCs/>
                <w:sz w:val="18"/>
                <w:szCs w:val="18"/>
              </w:rPr>
              <w:t>Bloco Térmico</w:t>
            </w:r>
          </w:p>
        </w:tc>
        <w:tc>
          <w:tcPr>
            <w:tcW w:w="900" w:type="dxa"/>
            <w:tcBorders>
              <w:top w:val="nil"/>
              <w:left w:val="nil"/>
              <w:bottom w:val="single" w:sz="8" w:space="0" w:color="auto"/>
              <w:right w:val="nil"/>
            </w:tcBorders>
            <w:shd w:val="clear" w:color="000000" w:fill="FFFFFF"/>
          </w:tcPr>
          <w:p w:rsidR="008220F4" w:rsidRPr="00B47212" w:rsidRDefault="006D51FA" w:rsidP="00B47212">
            <w:pPr>
              <w:jc w:val="center"/>
              <w:rPr>
                <w:rFonts w:ascii="Tahoma" w:hAnsi="Tahoma" w:cs="Tahoma"/>
                <w:sz w:val="18"/>
                <w:szCs w:val="18"/>
              </w:rPr>
            </w:pPr>
            <w:r w:rsidRPr="00B47212">
              <w:rPr>
                <w:rFonts w:ascii="Tahoma" w:hAnsi="Tahoma" w:cs="Tahoma"/>
                <w:sz w:val="18"/>
                <w:szCs w:val="18"/>
              </w:rPr>
              <w:t>1</w:t>
            </w:r>
            <w:r w:rsidR="00B47212" w:rsidRPr="00B47212">
              <w:rPr>
                <w:rFonts w:ascii="Tahoma" w:hAnsi="Tahoma" w:cs="Tahoma"/>
                <w:sz w:val="18"/>
                <w:szCs w:val="18"/>
              </w:rPr>
              <w:t>2</w:t>
            </w:r>
            <w:r w:rsidRPr="00B47212">
              <w:rPr>
                <w:rFonts w:ascii="Tahoma" w:hAnsi="Tahoma" w:cs="Tahoma"/>
                <w:sz w:val="18"/>
                <w:szCs w:val="18"/>
              </w:rPr>
              <w:t>.</w:t>
            </w:r>
            <w:r w:rsidR="00B47212" w:rsidRPr="00B47212">
              <w:rPr>
                <w:rFonts w:ascii="Tahoma" w:hAnsi="Tahoma" w:cs="Tahoma"/>
                <w:sz w:val="18"/>
                <w:szCs w:val="18"/>
              </w:rPr>
              <w:t>855</w:t>
            </w:r>
            <w:r w:rsidRPr="00B47212">
              <w:rPr>
                <w:rFonts w:ascii="Tahoma" w:hAnsi="Tahoma" w:cs="Tahoma"/>
                <w:sz w:val="18"/>
                <w:szCs w:val="18"/>
              </w:rPr>
              <w:t>,0</w:t>
            </w:r>
          </w:p>
        </w:tc>
        <w:tc>
          <w:tcPr>
            <w:tcW w:w="900" w:type="dxa"/>
            <w:tcBorders>
              <w:top w:val="nil"/>
              <w:left w:val="nil"/>
              <w:bottom w:val="single" w:sz="8" w:space="0" w:color="auto"/>
              <w:right w:val="nil"/>
            </w:tcBorders>
            <w:shd w:val="clear" w:color="000000" w:fill="FFFFFF"/>
            <w:hideMark/>
          </w:tcPr>
          <w:p w:rsidR="008220F4" w:rsidRPr="00B47212" w:rsidRDefault="008220F4" w:rsidP="00833B11">
            <w:pPr>
              <w:jc w:val="center"/>
              <w:rPr>
                <w:rFonts w:ascii="Tahoma" w:hAnsi="Tahoma" w:cs="Tahoma"/>
                <w:sz w:val="18"/>
                <w:szCs w:val="18"/>
              </w:rPr>
            </w:pPr>
            <w:r w:rsidRPr="00B47212">
              <w:rPr>
                <w:rFonts w:ascii="Tahoma" w:hAnsi="Tahoma" w:cs="Tahoma"/>
                <w:sz w:val="18"/>
                <w:szCs w:val="18"/>
              </w:rPr>
              <w:t>MWmed</w:t>
            </w:r>
          </w:p>
        </w:tc>
      </w:tr>
    </w:tbl>
    <w:p w:rsidR="00833B11" w:rsidRPr="001154D2" w:rsidRDefault="00F77CDF" w:rsidP="00833B11">
      <w:pPr>
        <w:pStyle w:val="CorpodoTexto"/>
      </w:pPr>
      <w:r w:rsidRPr="001154D2">
        <w:t xml:space="preserve">O montante revisado de </w:t>
      </w:r>
      <w:r w:rsidR="00833B11" w:rsidRPr="001154D2">
        <w:t xml:space="preserve">garantia física </w:t>
      </w:r>
      <w:r w:rsidRPr="001154D2">
        <w:t>da UTE Figueira terá validade com a efetiva operação do projeto modernizado e com as características técnicas apresentadas nesta Nota Técnica.</w:t>
      </w:r>
    </w:p>
    <w:p w:rsidR="00C21A42" w:rsidRDefault="00C21A42" w:rsidP="00833B11">
      <w:pPr>
        <w:pStyle w:val="CorpodoTexto"/>
      </w:pPr>
      <w:r w:rsidRPr="001154D2">
        <w:t>Os dados técnicos da referida UTE assim como o valor revisado da garantia física se encontram na tabela abaixo:</w:t>
      </w:r>
    </w:p>
    <w:p w:rsidR="00B47212" w:rsidRPr="001154D2" w:rsidRDefault="00B47212" w:rsidP="00B47212">
      <w:pPr>
        <w:pStyle w:val="Titulo-TabeGraf"/>
        <w:ind w:left="431"/>
        <w:jc w:val="center"/>
      </w:pPr>
      <w:r w:rsidRPr="00CF62C9">
        <w:t xml:space="preserve">Tabela </w:t>
      </w:r>
      <w:r w:rsidR="00DA7738">
        <w:fldChar w:fldCharType="begin"/>
      </w:r>
      <w:r w:rsidR="0049151C">
        <w:instrText xml:space="preserve"> SEQ Tabela \* ARABIC </w:instrText>
      </w:r>
      <w:r w:rsidR="00DA7738">
        <w:fldChar w:fldCharType="separate"/>
      </w:r>
      <w:r>
        <w:rPr>
          <w:noProof/>
        </w:rPr>
        <w:t>5</w:t>
      </w:r>
      <w:r w:rsidR="00DA7738">
        <w:rPr>
          <w:noProof/>
        </w:rPr>
        <w:fldChar w:fldCharType="end"/>
      </w:r>
      <w:r w:rsidRPr="00CF62C9">
        <w:t xml:space="preserve"> </w:t>
      </w:r>
      <w:r>
        <w:t>–</w:t>
      </w:r>
      <w:r w:rsidRPr="00CF62C9">
        <w:t xml:space="preserve"> </w:t>
      </w:r>
      <w:r>
        <w:t>Dados técnicos e motante revisado de garantia física da UTE Figueira</w:t>
      </w:r>
    </w:p>
    <w:tbl>
      <w:tblPr>
        <w:tblW w:w="10360" w:type="dxa"/>
        <w:jc w:val="center"/>
        <w:tblInd w:w="-1726" w:type="dxa"/>
        <w:tblBorders>
          <w:top w:val="single" w:sz="8" w:space="0" w:color="auto"/>
          <w:bottom w:val="single" w:sz="8" w:space="0" w:color="969696"/>
          <w:insideH w:val="single" w:sz="8" w:space="0" w:color="auto"/>
          <w:insideV w:val="single" w:sz="8" w:space="0" w:color="auto"/>
        </w:tblBorders>
        <w:tblLayout w:type="fixed"/>
        <w:tblCellMar>
          <w:left w:w="70" w:type="dxa"/>
          <w:right w:w="70" w:type="dxa"/>
        </w:tblCellMar>
        <w:tblLook w:val="04A0"/>
      </w:tblPr>
      <w:tblGrid>
        <w:gridCol w:w="1855"/>
        <w:gridCol w:w="1767"/>
        <w:gridCol w:w="567"/>
        <w:gridCol w:w="992"/>
        <w:gridCol w:w="709"/>
        <w:gridCol w:w="709"/>
        <w:gridCol w:w="708"/>
        <w:gridCol w:w="993"/>
        <w:gridCol w:w="1068"/>
        <w:gridCol w:w="992"/>
      </w:tblGrid>
      <w:tr w:rsidR="00C21A42" w:rsidRPr="00C21A42" w:rsidTr="00C21A42">
        <w:trPr>
          <w:trHeight w:val="875"/>
          <w:jc w:val="center"/>
        </w:trPr>
        <w:tc>
          <w:tcPr>
            <w:tcW w:w="1855" w:type="dxa"/>
            <w:shd w:val="clear" w:color="000000" w:fill="FFC000"/>
            <w:vAlign w:val="center"/>
            <w:hideMark/>
          </w:tcPr>
          <w:bookmarkEnd w:id="20"/>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Nome do Empreendimento</w:t>
            </w:r>
          </w:p>
        </w:tc>
        <w:tc>
          <w:tcPr>
            <w:tcW w:w="1767" w:type="dxa"/>
            <w:shd w:val="clear" w:color="000000" w:fill="FFC000"/>
            <w:vAlign w:val="center"/>
          </w:tcPr>
          <w:p w:rsidR="00C21A42" w:rsidRPr="00C21A42" w:rsidRDefault="00C21A42" w:rsidP="001B37A2">
            <w:pPr>
              <w:jc w:val="center"/>
              <w:rPr>
                <w:rFonts w:ascii="Tahoma" w:hAnsi="Tahoma" w:cs="Tahoma"/>
                <w:b/>
                <w:bCs/>
                <w:sz w:val="16"/>
                <w:szCs w:val="16"/>
              </w:rPr>
            </w:pPr>
            <w:r w:rsidRPr="00C21A42">
              <w:rPr>
                <w:rFonts w:ascii="Tahoma" w:hAnsi="Tahoma" w:cs="Tahoma"/>
                <w:b/>
                <w:bCs/>
                <w:sz w:val="16"/>
                <w:szCs w:val="16"/>
              </w:rPr>
              <w:t>Combustível</w:t>
            </w:r>
          </w:p>
        </w:tc>
        <w:tc>
          <w:tcPr>
            <w:tcW w:w="567" w:type="dxa"/>
            <w:shd w:val="clear" w:color="000000" w:fill="FFC000"/>
            <w:vAlign w:val="center"/>
            <w:hideMark/>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UF</w:t>
            </w:r>
          </w:p>
        </w:tc>
        <w:tc>
          <w:tcPr>
            <w:tcW w:w="992" w:type="dxa"/>
            <w:shd w:val="clear" w:color="000000" w:fill="FFC000"/>
            <w:vAlign w:val="center"/>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Potência Instalada</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(MW)</w:t>
            </w:r>
          </w:p>
        </w:tc>
        <w:tc>
          <w:tcPr>
            <w:tcW w:w="709" w:type="dxa"/>
            <w:shd w:val="clear" w:color="000000" w:fill="FFC000"/>
            <w:vAlign w:val="center"/>
            <w:hideMark/>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FCMAX</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w:t>
            </w:r>
          </w:p>
        </w:tc>
        <w:tc>
          <w:tcPr>
            <w:tcW w:w="709" w:type="dxa"/>
            <w:shd w:val="clear" w:color="000000" w:fill="FFC000"/>
            <w:vAlign w:val="center"/>
            <w:hideMark/>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TEIF</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w:t>
            </w:r>
          </w:p>
        </w:tc>
        <w:tc>
          <w:tcPr>
            <w:tcW w:w="708" w:type="dxa"/>
            <w:shd w:val="clear" w:color="000000" w:fill="FFC000"/>
            <w:vAlign w:val="center"/>
            <w:hideMark/>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IP</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w:t>
            </w:r>
          </w:p>
        </w:tc>
        <w:tc>
          <w:tcPr>
            <w:tcW w:w="993" w:type="dxa"/>
            <w:shd w:val="clear" w:color="000000" w:fill="FFC000"/>
            <w:vAlign w:val="center"/>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Inflex.</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(MWmed)</w:t>
            </w:r>
          </w:p>
        </w:tc>
        <w:tc>
          <w:tcPr>
            <w:tcW w:w="1068" w:type="dxa"/>
            <w:shd w:val="clear" w:color="000000" w:fill="FFC000"/>
            <w:vAlign w:val="center"/>
          </w:tcPr>
          <w:p w:rsidR="00C21A42" w:rsidRPr="00C21A42" w:rsidRDefault="00C21A42" w:rsidP="00846907">
            <w:pPr>
              <w:jc w:val="center"/>
              <w:rPr>
                <w:rFonts w:ascii="Tahoma" w:hAnsi="Tahoma" w:cs="Tahoma"/>
                <w:b/>
                <w:bCs/>
                <w:sz w:val="16"/>
                <w:szCs w:val="16"/>
              </w:rPr>
            </w:pPr>
            <w:r>
              <w:rPr>
                <w:rFonts w:ascii="Tahoma" w:hAnsi="Tahoma" w:cs="Tahoma"/>
                <w:b/>
                <w:bCs/>
                <w:sz w:val="16"/>
                <w:szCs w:val="16"/>
              </w:rPr>
              <w:t>CVU</w:t>
            </w:r>
          </w:p>
          <w:p w:rsidR="00C21A42" w:rsidRPr="00C21A42" w:rsidRDefault="00C21A42" w:rsidP="00C21A42">
            <w:pPr>
              <w:jc w:val="center"/>
              <w:rPr>
                <w:rFonts w:ascii="Tahoma" w:hAnsi="Tahoma" w:cs="Tahoma"/>
                <w:b/>
                <w:bCs/>
                <w:sz w:val="16"/>
                <w:szCs w:val="16"/>
              </w:rPr>
            </w:pPr>
            <w:r w:rsidRPr="00C21A42">
              <w:rPr>
                <w:rFonts w:ascii="Tahoma" w:hAnsi="Tahoma" w:cs="Tahoma"/>
                <w:b/>
                <w:bCs/>
                <w:sz w:val="16"/>
                <w:szCs w:val="16"/>
              </w:rPr>
              <w:t>(</w:t>
            </w:r>
            <w:r>
              <w:rPr>
                <w:rFonts w:ascii="Tahoma" w:hAnsi="Tahoma" w:cs="Tahoma"/>
                <w:b/>
                <w:bCs/>
                <w:sz w:val="16"/>
                <w:szCs w:val="16"/>
              </w:rPr>
              <w:t>R$/MWh</w:t>
            </w:r>
            <w:r w:rsidRPr="00C21A42">
              <w:rPr>
                <w:rFonts w:ascii="Tahoma" w:hAnsi="Tahoma" w:cs="Tahoma"/>
                <w:b/>
                <w:bCs/>
                <w:sz w:val="16"/>
                <w:szCs w:val="16"/>
              </w:rPr>
              <w:t>)</w:t>
            </w:r>
          </w:p>
        </w:tc>
        <w:tc>
          <w:tcPr>
            <w:tcW w:w="992" w:type="dxa"/>
            <w:shd w:val="clear" w:color="000000" w:fill="FFC000"/>
            <w:vAlign w:val="center"/>
          </w:tcPr>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Garantia Física</w:t>
            </w:r>
          </w:p>
          <w:p w:rsidR="00C21A42" w:rsidRPr="00C21A42" w:rsidRDefault="00C21A42" w:rsidP="00F521F7">
            <w:pPr>
              <w:jc w:val="center"/>
              <w:rPr>
                <w:rFonts w:ascii="Tahoma" w:hAnsi="Tahoma" w:cs="Tahoma"/>
                <w:b/>
                <w:bCs/>
                <w:sz w:val="16"/>
                <w:szCs w:val="16"/>
              </w:rPr>
            </w:pPr>
            <w:r w:rsidRPr="00C21A42">
              <w:rPr>
                <w:rFonts w:ascii="Tahoma" w:hAnsi="Tahoma" w:cs="Tahoma"/>
                <w:b/>
                <w:bCs/>
                <w:sz w:val="16"/>
                <w:szCs w:val="16"/>
              </w:rPr>
              <w:t>(MWmed)</w:t>
            </w:r>
          </w:p>
        </w:tc>
      </w:tr>
      <w:tr w:rsidR="001154D2" w:rsidRPr="00C21A42" w:rsidTr="00846907">
        <w:trPr>
          <w:trHeight w:val="313"/>
          <w:jc w:val="center"/>
        </w:trPr>
        <w:tc>
          <w:tcPr>
            <w:tcW w:w="1855" w:type="dxa"/>
            <w:tcBorders>
              <w:bottom w:val="single" w:sz="8" w:space="0" w:color="auto"/>
            </w:tcBorders>
            <w:shd w:val="clear" w:color="000000" w:fill="FFFFFF"/>
            <w:vAlign w:val="center"/>
          </w:tcPr>
          <w:p w:rsidR="001154D2" w:rsidRPr="00C21A42" w:rsidRDefault="001154D2" w:rsidP="00CE056F">
            <w:pPr>
              <w:jc w:val="center"/>
              <w:rPr>
                <w:rFonts w:ascii="Tahoma" w:hAnsi="Tahoma" w:cs="Tahoma"/>
                <w:sz w:val="20"/>
                <w:szCs w:val="20"/>
                <w:vertAlign w:val="superscript"/>
              </w:rPr>
            </w:pPr>
            <w:r w:rsidRPr="00C21A42">
              <w:rPr>
                <w:rFonts w:ascii="Tahoma" w:hAnsi="Tahoma" w:cs="Tahoma"/>
                <w:sz w:val="20"/>
                <w:szCs w:val="20"/>
              </w:rPr>
              <w:t>Figueira</w:t>
            </w:r>
          </w:p>
        </w:tc>
        <w:tc>
          <w:tcPr>
            <w:tcW w:w="1767" w:type="dxa"/>
            <w:tcBorders>
              <w:bottom w:val="single" w:sz="8" w:space="0" w:color="auto"/>
            </w:tcBorders>
            <w:shd w:val="clear" w:color="000000" w:fill="FFFFFF"/>
            <w:vAlign w:val="center"/>
          </w:tcPr>
          <w:p w:rsidR="001154D2" w:rsidRPr="00C21A42" w:rsidRDefault="001154D2" w:rsidP="00DA1B3A">
            <w:pPr>
              <w:jc w:val="center"/>
              <w:rPr>
                <w:rFonts w:ascii="Tahoma" w:hAnsi="Tahoma" w:cs="Tahoma"/>
                <w:sz w:val="20"/>
                <w:szCs w:val="20"/>
              </w:rPr>
            </w:pPr>
            <w:r w:rsidRPr="00C21A42">
              <w:rPr>
                <w:rFonts w:ascii="Tahoma" w:hAnsi="Tahoma" w:cs="Tahoma"/>
                <w:sz w:val="20"/>
                <w:szCs w:val="20"/>
              </w:rPr>
              <w:t>Carvão Mineral Nacional</w:t>
            </w:r>
          </w:p>
        </w:tc>
        <w:tc>
          <w:tcPr>
            <w:tcW w:w="567" w:type="dxa"/>
            <w:tcBorders>
              <w:bottom w:val="single" w:sz="8" w:space="0" w:color="auto"/>
            </w:tcBorders>
            <w:shd w:val="clear" w:color="000000" w:fill="FFFFFF"/>
            <w:vAlign w:val="center"/>
          </w:tcPr>
          <w:p w:rsidR="001154D2" w:rsidRPr="00C21A42" w:rsidRDefault="001154D2" w:rsidP="00DA1B3A">
            <w:pPr>
              <w:jc w:val="center"/>
              <w:rPr>
                <w:rFonts w:ascii="Tahoma" w:hAnsi="Tahoma" w:cs="Tahoma"/>
                <w:sz w:val="20"/>
                <w:szCs w:val="20"/>
              </w:rPr>
            </w:pPr>
            <w:r w:rsidRPr="00C21A42">
              <w:rPr>
                <w:rFonts w:ascii="Tahoma" w:hAnsi="Tahoma" w:cs="Tahoma"/>
                <w:sz w:val="20"/>
                <w:szCs w:val="20"/>
              </w:rPr>
              <w:t>PR</w:t>
            </w:r>
          </w:p>
        </w:tc>
        <w:tc>
          <w:tcPr>
            <w:tcW w:w="992" w:type="dxa"/>
            <w:tcBorders>
              <w:bottom w:val="single" w:sz="8" w:space="0" w:color="auto"/>
            </w:tcBorders>
            <w:shd w:val="clear" w:color="000000" w:fill="FFFFFF"/>
            <w:vAlign w:val="center"/>
          </w:tcPr>
          <w:p w:rsidR="001154D2" w:rsidRPr="00C21A42" w:rsidRDefault="001154D2" w:rsidP="00DA1B3A">
            <w:pPr>
              <w:jc w:val="center"/>
              <w:rPr>
                <w:rFonts w:ascii="Tahoma" w:hAnsi="Tahoma" w:cs="Tahoma"/>
                <w:sz w:val="20"/>
                <w:szCs w:val="20"/>
              </w:rPr>
            </w:pPr>
            <w:r w:rsidRPr="00C21A42">
              <w:rPr>
                <w:rFonts w:ascii="Tahoma" w:hAnsi="Tahoma" w:cs="Tahoma"/>
                <w:sz w:val="20"/>
                <w:szCs w:val="20"/>
              </w:rPr>
              <w:t>20,0</w:t>
            </w:r>
          </w:p>
        </w:tc>
        <w:tc>
          <w:tcPr>
            <w:tcW w:w="709" w:type="dxa"/>
            <w:tcBorders>
              <w:bottom w:val="single" w:sz="8" w:space="0" w:color="auto"/>
            </w:tcBorders>
            <w:shd w:val="clear" w:color="000000" w:fill="FFFFFF"/>
            <w:vAlign w:val="center"/>
          </w:tcPr>
          <w:p w:rsidR="001154D2" w:rsidRPr="001154D2" w:rsidRDefault="001154D2" w:rsidP="00DA1B3A">
            <w:pPr>
              <w:jc w:val="center"/>
              <w:rPr>
                <w:rFonts w:ascii="Tahoma" w:hAnsi="Tahoma" w:cs="Tahoma"/>
                <w:sz w:val="20"/>
                <w:szCs w:val="20"/>
              </w:rPr>
            </w:pPr>
            <w:r w:rsidRPr="001154D2">
              <w:rPr>
                <w:rFonts w:ascii="Tahoma" w:hAnsi="Tahoma" w:cs="Tahoma"/>
                <w:sz w:val="20"/>
                <w:szCs w:val="20"/>
              </w:rPr>
              <w:t>100</w:t>
            </w:r>
          </w:p>
        </w:tc>
        <w:tc>
          <w:tcPr>
            <w:tcW w:w="709" w:type="dxa"/>
            <w:tcBorders>
              <w:bottom w:val="single" w:sz="8" w:space="0" w:color="auto"/>
            </w:tcBorders>
            <w:shd w:val="clear" w:color="000000" w:fill="FFFFFF"/>
            <w:vAlign w:val="center"/>
          </w:tcPr>
          <w:p w:rsidR="001154D2" w:rsidRPr="001154D2" w:rsidRDefault="001154D2" w:rsidP="001154D2">
            <w:pPr>
              <w:jc w:val="center"/>
              <w:rPr>
                <w:rFonts w:ascii="Tahoma" w:hAnsi="Tahoma" w:cs="Tahoma"/>
                <w:sz w:val="20"/>
                <w:szCs w:val="20"/>
              </w:rPr>
            </w:pPr>
            <w:r w:rsidRPr="001154D2">
              <w:rPr>
                <w:rFonts w:ascii="Tahoma" w:hAnsi="Tahoma" w:cs="Tahoma"/>
                <w:sz w:val="20"/>
                <w:szCs w:val="20"/>
              </w:rPr>
              <w:t>4,00</w:t>
            </w:r>
          </w:p>
        </w:tc>
        <w:tc>
          <w:tcPr>
            <w:tcW w:w="708" w:type="dxa"/>
            <w:tcBorders>
              <w:bottom w:val="single" w:sz="8" w:space="0" w:color="auto"/>
            </w:tcBorders>
            <w:shd w:val="clear" w:color="000000" w:fill="FFFFFF"/>
            <w:vAlign w:val="center"/>
          </w:tcPr>
          <w:p w:rsidR="001154D2" w:rsidRPr="001154D2" w:rsidRDefault="001154D2" w:rsidP="001154D2">
            <w:pPr>
              <w:jc w:val="center"/>
              <w:rPr>
                <w:rFonts w:ascii="Tahoma" w:hAnsi="Tahoma" w:cs="Tahoma"/>
                <w:sz w:val="20"/>
                <w:szCs w:val="20"/>
              </w:rPr>
            </w:pPr>
            <w:r w:rsidRPr="001154D2">
              <w:rPr>
                <w:rFonts w:ascii="Tahoma" w:hAnsi="Tahoma" w:cs="Tahoma"/>
                <w:sz w:val="20"/>
                <w:szCs w:val="20"/>
              </w:rPr>
              <w:t>6,00</w:t>
            </w:r>
          </w:p>
        </w:tc>
        <w:tc>
          <w:tcPr>
            <w:tcW w:w="993" w:type="dxa"/>
            <w:tcBorders>
              <w:bottom w:val="single" w:sz="8" w:space="0" w:color="auto"/>
            </w:tcBorders>
            <w:shd w:val="clear" w:color="000000" w:fill="FFFFFF"/>
            <w:vAlign w:val="center"/>
          </w:tcPr>
          <w:p w:rsidR="001154D2" w:rsidRPr="001154D2" w:rsidRDefault="001154D2" w:rsidP="001154D2">
            <w:pPr>
              <w:jc w:val="center"/>
              <w:rPr>
                <w:rFonts w:ascii="Tahoma" w:hAnsi="Tahoma" w:cs="Tahoma"/>
                <w:sz w:val="20"/>
                <w:szCs w:val="20"/>
              </w:rPr>
            </w:pPr>
            <w:r w:rsidRPr="001154D2">
              <w:rPr>
                <w:rFonts w:ascii="Tahoma" w:hAnsi="Tahoma" w:cs="Tahoma"/>
                <w:sz w:val="20"/>
                <w:szCs w:val="20"/>
              </w:rPr>
              <w:t>16,86</w:t>
            </w:r>
          </w:p>
        </w:tc>
        <w:tc>
          <w:tcPr>
            <w:tcW w:w="1068" w:type="dxa"/>
            <w:tcBorders>
              <w:bottom w:val="single" w:sz="8" w:space="0" w:color="auto"/>
            </w:tcBorders>
            <w:shd w:val="clear" w:color="000000" w:fill="FFFFFF"/>
            <w:vAlign w:val="center"/>
          </w:tcPr>
          <w:p w:rsidR="001154D2" w:rsidRPr="001154D2" w:rsidRDefault="001154D2" w:rsidP="001154D2">
            <w:pPr>
              <w:jc w:val="center"/>
              <w:rPr>
                <w:rFonts w:ascii="Tahoma" w:hAnsi="Tahoma" w:cs="Tahoma"/>
                <w:sz w:val="20"/>
                <w:szCs w:val="20"/>
              </w:rPr>
            </w:pPr>
            <w:r w:rsidRPr="001154D2">
              <w:rPr>
                <w:rFonts w:ascii="Tahoma" w:hAnsi="Tahoma" w:cs="Tahoma"/>
                <w:sz w:val="20"/>
                <w:szCs w:val="20"/>
              </w:rPr>
              <w:t>208,24</w:t>
            </w:r>
          </w:p>
        </w:tc>
        <w:tc>
          <w:tcPr>
            <w:tcW w:w="992" w:type="dxa"/>
            <w:tcBorders>
              <w:bottom w:val="single" w:sz="8" w:space="0" w:color="auto"/>
            </w:tcBorders>
            <w:shd w:val="clear" w:color="000000" w:fill="FFFFFF"/>
            <w:vAlign w:val="center"/>
          </w:tcPr>
          <w:p w:rsidR="001154D2" w:rsidRPr="00CF62C9" w:rsidRDefault="00CF62C9" w:rsidP="00CF62C9">
            <w:pPr>
              <w:jc w:val="center"/>
              <w:rPr>
                <w:rFonts w:ascii="Tahoma" w:hAnsi="Tahoma" w:cs="Tahoma"/>
                <w:b/>
                <w:sz w:val="20"/>
                <w:szCs w:val="20"/>
              </w:rPr>
            </w:pPr>
            <w:r w:rsidRPr="00CF62C9">
              <w:rPr>
                <w:rFonts w:ascii="Tahoma" w:hAnsi="Tahoma" w:cs="Tahoma"/>
                <w:b/>
                <w:sz w:val="20"/>
                <w:szCs w:val="20"/>
              </w:rPr>
              <w:t>17</w:t>
            </w:r>
            <w:r w:rsidR="001154D2" w:rsidRPr="00CF62C9">
              <w:rPr>
                <w:rFonts w:ascii="Tahoma" w:hAnsi="Tahoma" w:cs="Tahoma"/>
                <w:b/>
                <w:sz w:val="20"/>
                <w:szCs w:val="20"/>
              </w:rPr>
              <w:t>,</w:t>
            </w:r>
            <w:r w:rsidRPr="00CF62C9">
              <w:rPr>
                <w:rFonts w:ascii="Tahoma" w:hAnsi="Tahoma" w:cs="Tahoma"/>
                <w:b/>
                <w:sz w:val="20"/>
                <w:szCs w:val="20"/>
              </w:rPr>
              <w:t>7</w:t>
            </w:r>
          </w:p>
        </w:tc>
      </w:tr>
    </w:tbl>
    <w:p w:rsidR="00B547BC" w:rsidRPr="00C21A42" w:rsidRDefault="00B547BC" w:rsidP="00B47212">
      <w:pPr>
        <w:pStyle w:val="EstiloTtulo1"/>
        <w:numPr>
          <w:ilvl w:val="0"/>
          <w:numId w:val="0"/>
        </w:numPr>
        <w:spacing w:before="120" w:after="200"/>
        <w:outlineLvl w:val="0"/>
        <w:rPr>
          <w:rFonts w:ascii="Tahoma" w:hAnsi="Tahoma" w:cs="Tahoma"/>
          <w:b/>
          <w:sz w:val="26"/>
          <w:szCs w:val="26"/>
        </w:rPr>
      </w:pPr>
    </w:p>
    <w:sectPr w:rsidR="00B547BC" w:rsidRPr="00C21A42" w:rsidSect="00833B11">
      <w:footerReference w:type="default" r:id="rId16"/>
      <w:pgSz w:w="11907" w:h="16840" w:code="9"/>
      <w:pgMar w:top="1701" w:right="1134" w:bottom="1134" w:left="1418" w:header="567"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0E8" w:rsidRDefault="007A00E8" w:rsidP="008868EB">
      <w:r>
        <w:separator/>
      </w:r>
    </w:p>
  </w:endnote>
  <w:endnote w:type="continuationSeparator" w:id="0">
    <w:p w:rsidR="007A00E8" w:rsidRDefault="007A00E8" w:rsidP="008868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E8" w:rsidRDefault="00DA7738">
    <w:pPr>
      <w:pStyle w:val="Rodap"/>
      <w:tabs>
        <w:tab w:val="clear" w:pos="4419"/>
        <w:tab w:val="clear" w:pos="8838"/>
        <w:tab w:val="center" w:pos="4668"/>
        <w:tab w:val="left" w:pos="5250"/>
      </w:tabs>
      <w:ind w:left="57" w:right="360"/>
    </w:pPr>
    <w:r w:rsidRPr="00DA7738">
      <w:rPr>
        <w:noProof/>
        <w:sz w:val="20"/>
      </w:rPr>
      <w:pict>
        <v:shapetype id="_x0000_t202" coordsize="21600,21600" o:spt="202" path="m,l,21600r21600,l21600,xe">
          <v:stroke joinstyle="miter"/>
          <v:path gradientshapeok="t" o:connecttype="rect"/>
        </v:shapetype>
        <v:shape id="Text Box 57" o:spid="_x0000_s22531" type="#_x0000_t202" style="position:absolute;left:0;text-align:left;margin-left:472.2pt;margin-top:12.85pt;width:27.6pt;height:1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" fillcolor="#52c5e0" stroked="f" strokecolor="#03c" strokeweight="1pt">
          <v:shadow color="red" opacity=".5" offset="0,-4pt"/>
          <v:textbox inset="1mm,.6mm,1mm,.3mm">
            <w:txbxContent>
              <w:p w:rsidR="007A00E8" w:rsidRPr="00985BC5" w:rsidRDefault="00DA7738" w:rsidP="00985BC5">
                <w:pPr>
                  <w:jc w:val="center"/>
                  <w:rPr>
                    <w:rFonts w:ascii="Tahoma" w:hAnsi="Tahoma" w:cs="Tahoma"/>
                    <w:b/>
                    <w:color w:val="FFFFFF"/>
                    <w:sz w:val="16"/>
                    <w:szCs w:val="16"/>
                  </w:rPr>
                </w:pPr>
                <w:r w:rsidRPr="00985BC5">
                  <w:rPr>
                    <w:rStyle w:val="Nmerodepgina"/>
                    <w:rFonts w:ascii="Tahoma" w:hAnsi="Tahoma" w:cs="Tahoma"/>
                    <w:b/>
                    <w:color w:val="FFFFFF"/>
                    <w:sz w:val="16"/>
                    <w:szCs w:val="16"/>
                  </w:rPr>
                  <w:fldChar w:fldCharType="begin"/>
                </w:r>
                <w:r w:rsidR="007A00E8" w:rsidRPr="00985BC5">
                  <w:rPr>
                    <w:rStyle w:val="Nmerodepgina"/>
                    <w:rFonts w:ascii="Tahoma" w:hAnsi="Tahoma" w:cs="Tahoma"/>
                    <w:b/>
                    <w:color w:val="FFFFFF"/>
                    <w:sz w:val="16"/>
                    <w:szCs w:val="16"/>
                  </w:rPr>
                  <w:instrText xml:space="preserve"> PAGE </w:instrText>
                </w:r>
                <w:r w:rsidRPr="00985BC5">
                  <w:rPr>
                    <w:rStyle w:val="Nmerodepgina"/>
                    <w:rFonts w:ascii="Tahoma" w:hAnsi="Tahoma" w:cs="Tahoma"/>
                    <w:b/>
                    <w:color w:val="FFFFFF"/>
                    <w:sz w:val="16"/>
                    <w:szCs w:val="16"/>
                  </w:rPr>
                  <w:fldChar w:fldCharType="separate"/>
                </w:r>
                <w:r w:rsidR="00484FAF">
                  <w:rPr>
                    <w:rStyle w:val="Nmerodepgina"/>
                    <w:rFonts w:ascii="Tahoma" w:hAnsi="Tahoma" w:cs="Tahoma"/>
                    <w:b/>
                    <w:noProof/>
                    <w:color w:val="FFFFFF"/>
                    <w:sz w:val="16"/>
                    <w:szCs w:val="16"/>
                  </w:rPr>
                  <w:t>11</w:t>
                </w:r>
                <w:r w:rsidRPr="00985BC5">
                  <w:rPr>
                    <w:rStyle w:val="Nmerodepgina"/>
                    <w:rFonts w:ascii="Tahoma" w:hAnsi="Tahoma" w:cs="Tahoma"/>
                    <w:b/>
                    <w:color w:val="FFFFFF"/>
                    <w:sz w:val="16"/>
                    <w:szCs w:val="16"/>
                  </w:rPr>
                  <w:fldChar w:fldCharType="end"/>
                </w:r>
              </w:p>
            </w:txbxContent>
          </v:textbox>
        </v:shape>
      </w:pict>
    </w:r>
    <w:r w:rsidR="007A00E8">
      <w:tab/>
    </w:r>
  </w:p>
  <w:p w:rsidR="007A00E8" w:rsidRDefault="00DA7738">
    <w:pPr>
      <w:pStyle w:val="Rodap"/>
    </w:pPr>
    <w:r w:rsidRPr="00DA7738">
      <w:rPr>
        <w:noProof/>
        <w:sz w:val="20"/>
      </w:rPr>
      <w:pict>
        <v:line id="Line 56" o:spid="_x0000_s22530"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7pt" to="475.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" strokecolor="#52c5e0" strokeweight=".5pt"/>
      </w:pict>
    </w:r>
    <w:r w:rsidRPr="00DA7738">
      <w:rPr>
        <w:noProof/>
        <w:sz w:val="20"/>
      </w:rPr>
      <w:pict>
        <v:shape id="Text Box 58" o:spid="_x0000_s22529" type="#_x0000_t202" style="position:absolute;margin-left:-.6pt;margin-top:3.1pt;width:423.6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" filled="f" fillcolor="#36f" stroked="f" strokecolor="#03c" strokeweight="1pt">
          <v:textbox inset="1mm,.3mm,1mm,.3mm">
            <w:txbxContent>
              <w:p w:rsidR="007A00E8" w:rsidRPr="00F521F7" w:rsidRDefault="007A00E8" w:rsidP="00585081">
                <w:r>
                  <w:rPr>
                    <w:rFonts w:ascii="Tahoma" w:hAnsi="Tahoma" w:cs="Tahoma"/>
                    <w:b/>
                    <w:bCs/>
                    <w:color w:val="999999"/>
                    <w:sz w:val="16"/>
                  </w:rPr>
                  <w:t>Revisão de Garantia Física de Energia – Usina Termelétrica Figueira</w:t>
                </w:r>
              </w:p>
              <w:p w:rsidR="007A00E8" w:rsidRPr="00D83180" w:rsidRDefault="007A00E8" w:rsidP="00833B11"/>
            </w:txbxContent>
          </v:textbox>
        </v:shape>
      </w:pict>
    </w:r>
  </w:p>
  <w:p w:rsidR="007A00E8" w:rsidRDefault="007A00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0E8" w:rsidRDefault="007A00E8" w:rsidP="008868EB">
      <w:r>
        <w:separator/>
      </w:r>
    </w:p>
  </w:footnote>
  <w:footnote w:type="continuationSeparator" w:id="0">
    <w:p w:rsidR="007A00E8" w:rsidRDefault="007A00E8" w:rsidP="008868EB">
      <w:r>
        <w:continuationSeparator/>
      </w:r>
    </w:p>
  </w:footnote>
  <w:footnote w:id="1">
    <w:p w:rsidR="007A00E8" w:rsidRPr="009576E3" w:rsidRDefault="007A00E8" w:rsidP="00466A93">
      <w:pPr>
        <w:pStyle w:val="Textodenotaderodap"/>
        <w:rPr>
          <w:rFonts w:ascii="Tahoma" w:hAnsi="Tahoma" w:cs="Tahoma"/>
          <w:sz w:val="16"/>
          <w:szCs w:val="16"/>
        </w:rPr>
      </w:pPr>
      <w:r>
        <w:rPr>
          <w:rStyle w:val="Refdenotaderodap"/>
        </w:rPr>
        <w:footnoteRef/>
      </w:r>
      <w:r>
        <w:t xml:space="preserve"> </w:t>
      </w:r>
      <w:r w:rsidRPr="009576E3">
        <w:rPr>
          <w:rFonts w:ascii="Tahoma" w:hAnsi="Tahoma" w:cs="Tahoma"/>
          <w:sz w:val="16"/>
          <w:szCs w:val="16"/>
        </w:rPr>
        <w:t>Admitida uma tolerância</w:t>
      </w:r>
      <w:r>
        <w:rPr>
          <w:rFonts w:ascii="Tahoma" w:hAnsi="Tahoma" w:cs="Tahoma"/>
          <w:sz w:val="16"/>
          <w:szCs w:val="16"/>
        </w:rPr>
        <w:t xml:space="preserve"> de aproximadamente 2%, neste caso, igual a 2 R$/MWh</w:t>
      </w:r>
      <w:r w:rsidRPr="009576E3">
        <w:rPr>
          <w:rFonts w:ascii="Tahoma" w:hAnsi="Tahoma" w:cs="Tahom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E8" w:rsidRDefault="007A00E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1CE4"/>
    <w:multiLevelType w:val="hybridMultilevel"/>
    <w:tmpl w:val="C672A34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nsid w:val="053A4231"/>
    <w:multiLevelType w:val="multilevel"/>
    <w:tmpl w:val="33047B32"/>
    <w:lvl w:ilvl="0">
      <w:start w:val="1"/>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
    <w:nsid w:val="07CE2C4D"/>
    <w:multiLevelType w:val="hybridMultilevel"/>
    <w:tmpl w:val="68ACF0C8"/>
    <w:lvl w:ilvl="0" w:tplc="0416000B">
      <w:start w:val="1"/>
      <w:numFmt w:val="bullet"/>
      <w:lvlText w:val=""/>
      <w:lvlJc w:val="left"/>
      <w:pPr>
        <w:tabs>
          <w:tab w:val="num" w:pos="1004"/>
        </w:tabs>
        <w:ind w:left="1004" w:hanging="360"/>
      </w:pPr>
      <w:rPr>
        <w:rFonts w:ascii="Wingdings" w:hAnsi="Wingdings" w:hint="default"/>
      </w:rPr>
    </w:lvl>
    <w:lvl w:ilvl="1" w:tplc="04160003">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3">
    <w:nsid w:val="08C93652"/>
    <w:multiLevelType w:val="multilevel"/>
    <w:tmpl w:val="38A44A7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5CA0FAE"/>
    <w:multiLevelType w:val="multilevel"/>
    <w:tmpl w:val="55ECA7F2"/>
    <w:lvl w:ilvl="0">
      <w:start w:val="2"/>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2"/>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5">
    <w:nsid w:val="18117F6D"/>
    <w:multiLevelType w:val="multilevel"/>
    <w:tmpl w:val="C40813F6"/>
    <w:lvl w:ilvl="0">
      <w:start w:val="1"/>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4"/>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6">
    <w:nsid w:val="18B46E7E"/>
    <w:multiLevelType w:val="multilevel"/>
    <w:tmpl w:val="84425EC8"/>
    <w:lvl w:ilvl="0">
      <w:start w:val="1"/>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4"/>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7">
    <w:nsid w:val="27936D63"/>
    <w:multiLevelType w:val="hybridMultilevel"/>
    <w:tmpl w:val="5F2450EC"/>
    <w:lvl w:ilvl="0" w:tplc="0B867978">
      <w:start w:val="1"/>
      <w:numFmt w:val="bullet"/>
      <w:lvlText w:val=""/>
      <w:lvlJc w:val="left"/>
      <w:pPr>
        <w:tabs>
          <w:tab w:val="num" w:pos="1004"/>
        </w:tabs>
        <w:ind w:left="1004" w:hanging="360"/>
      </w:pPr>
      <w:rPr>
        <w:rFonts w:ascii="Wingdings" w:hAnsi="Wingdings"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8">
    <w:nsid w:val="29DA518A"/>
    <w:multiLevelType w:val="multilevel"/>
    <w:tmpl w:val="808604E0"/>
    <w:lvl w:ilvl="0">
      <w:start w:val="2"/>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pStyle w:val="EstiloTtulo2Tahoma"/>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9">
    <w:nsid w:val="30306806"/>
    <w:multiLevelType w:val="hybridMultilevel"/>
    <w:tmpl w:val="EE0013C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340A2932"/>
    <w:multiLevelType w:val="multilevel"/>
    <w:tmpl w:val="4C6C1B12"/>
    <w:lvl w:ilvl="0">
      <w:start w:val="2"/>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11">
    <w:nsid w:val="35E55EC4"/>
    <w:multiLevelType w:val="hybridMultilevel"/>
    <w:tmpl w:val="7F5C7F2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FC07024"/>
    <w:multiLevelType w:val="hybridMultilevel"/>
    <w:tmpl w:val="CE10EE2C"/>
    <w:lvl w:ilvl="0" w:tplc="F48E6B76">
      <w:start w:val="1"/>
      <w:numFmt w:val="bullet"/>
      <w:pStyle w:val="itembullet"/>
      <w:lvlText w:val=""/>
      <w:lvlJc w:val="left"/>
      <w:pPr>
        <w:tabs>
          <w:tab w:val="num" w:pos="720"/>
        </w:tabs>
        <w:ind w:left="720" w:hanging="360"/>
      </w:pPr>
      <w:rPr>
        <w:rFonts w:ascii="Wingdings" w:hAnsi="Wingdings" w:hint="default"/>
        <w:sz w:val="16"/>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40E546AC"/>
    <w:multiLevelType w:val="hybridMultilevel"/>
    <w:tmpl w:val="E250AE44"/>
    <w:lvl w:ilvl="0" w:tplc="0416000F">
      <w:start w:val="1"/>
      <w:numFmt w:val="decimal"/>
      <w:lvlText w:val="%1."/>
      <w:lvlJc w:val="left"/>
      <w:pPr>
        <w:tabs>
          <w:tab w:val="num" w:pos="1004"/>
        </w:tabs>
        <w:ind w:left="1004" w:hanging="360"/>
      </w:pPr>
      <w:rPr>
        <w:rFonts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14">
    <w:nsid w:val="438D3A7A"/>
    <w:multiLevelType w:val="multilevel"/>
    <w:tmpl w:val="9B7A40B4"/>
    <w:lvl w:ilvl="0">
      <w:start w:val="1"/>
      <w:numFmt w:val="decimal"/>
      <w:pStyle w:val="EstiloTtulo1"/>
      <w:lvlText w:val="%1."/>
      <w:lvlJc w:val="left"/>
      <w:pPr>
        <w:tabs>
          <w:tab w:val="num" w:pos="432"/>
        </w:tabs>
        <w:ind w:left="432" w:hanging="432"/>
      </w:pPr>
      <w:rPr>
        <w:rFonts w:ascii="Tahoma" w:hAnsi="Tahoma" w:hint="default"/>
        <w:b/>
        <w:i w:val="0"/>
        <w:caps/>
        <w:strike w:val="0"/>
        <w:dstrike w:val="0"/>
        <w:vanish w:val="0"/>
        <w:color w:val="000000"/>
        <w:sz w:val="28"/>
        <w:szCs w:val="28"/>
        <w:vertAlign w:val="baseline"/>
      </w:rPr>
    </w:lvl>
    <w:lvl w:ilvl="1">
      <w:start w:val="1"/>
      <w:numFmt w:val="decimal"/>
      <w:lvlText w:val="%1.%2."/>
      <w:lvlJc w:val="left"/>
      <w:pPr>
        <w:tabs>
          <w:tab w:val="num" w:pos="576"/>
        </w:tabs>
        <w:ind w:left="576" w:hanging="576"/>
      </w:pPr>
      <w:rPr>
        <w:rFonts w:ascii="Tahoma" w:hAnsi="Tahoma" w:hint="default"/>
        <w:b/>
        <w:i w:val="0"/>
        <w:sz w:val="22"/>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
    <w:nsid w:val="44A9518D"/>
    <w:multiLevelType w:val="hybridMultilevel"/>
    <w:tmpl w:val="AD041F7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nsid w:val="457C5D36"/>
    <w:multiLevelType w:val="multilevel"/>
    <w:tmpl w:val="2A1E211C"/>
    <w:lvl w:ilvl="0">
      <w:start w:val="2"/>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17">
    <w:nsid w:val="4686457D"/>
    <w:multiLevelType w:val="hybridMultilevel"/>
    <w:tmpl w:val="41246736"/>
    <w:lvl w:ilvl="0" w:tplc="0416000B">
      <w:start w:val="1"/>
      <w:numFmt w:val="bullet"/>
      <w:lvlText w:val=""/>
      <w:lvlJc w:val="left"/>
      <w:pPr>
        <w:tabs>
          <w:tab w:val="num" w:pos="1004"/>
        </w:tabs>
        <w:ind w:left="1004" w:hanging="360"/>
      </w:pPr>
      <w:rPr>
        <w:rFonts w:ascii="Wingdings" w:hAnsi="Wingdings" w:hint="default"/>
      </w:rPr>
    </w:lvl>
    <w:lvl w:ilvl="1" w:tplc="04160003">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18">
    <w:nsid w:val="46950446"/>
    <w:multiLevelType w:val="multilevel"/>
    <w:tmpl w:val="8B28E0F8"/>
    <w:lvl w:ilvl="0">
      <w:start w:val="3"/>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2"/>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19">
    <w:nsid w:val="483C7BDC"/>
    <w:multiLevelType w:val="hybridMultilevel"/>
    <w:tmpl w:val="1168FE3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497018F4"/>
    <w:multiLevelType w:val="multilevel"/>
    <w:tmpl w:val="7D0A45DC"/>
    <w:lvl w:ilvl="0">
      <w:start w:val="4"/>
      <w:numFmt w:val="decimal"/>
      <w:pStyle w:val="TituloA"/>
      <w:lvlText w:val="%1."/>
      <w:lvlJc w:val="left"/>
      <w:pPr>
        <w:tabs>
          <w:tab w:val="num" w:pos="431"/>
        </w:tabs>
        <w:ind w:left="431" w:hanging="431"/>
      </w:pPr>
      <w:rPr>
        <w:rFonts w:hint="default"/>
        <w:b/>
        <w:i w:val="0"/>
        <w:strike w:val="0"/>
        <w:color w:val="000000"/>
      </w:rPr>
    </w:lvl>
    <w:lvl w:ilvl="1">
      <w:start w:val="1"/>
      <w:numFmt w:val="decimal"/>
      <w:pStyle w:val="TtuloB"/>
      <w:lvlText w:val="%1.%2."/>
      <w:lvlJc w:val="left"/>
      <w:pPr>
        <w:tabs>
          <w:tab w:val="num" w:pos="756"/>
        </w:tabs>
        <w:ind w:left="756" w:hanging="576"/>
      </w:pPr>
      <w:rPr>
        <w:rFonts w:hint="default"/>
      </w:rPr>
    </w:lvl>
    <w:lvl w:ilvl="2">
      <w:start w:val="1"/>
      <w:numFmt w:val="decimal"/>
      <w:lvlText w:val="%1.%2.%3."/>
      <w:lvlJc w:val="left"/>
      <w:pPr>
        <w:tabs>
          <w:tab w:val="num" w:pos="737"/>
        </w:tabs>
        <w:ind w:left="737" w:hanging="397"/>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1">
    <w:nsid w:val="4BEB3BF3"/>
    <w:multiLevelType w:val="multilevel"/>
    <w:tmpl w:val="7E04E34A"/>
    <w:lvl w:ilvl="0">
      <w:start w:val="3"/>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2">
    <w:nsid w:val="54EA6C65"/>
    <w:multiLevelType w:val="hybridMultilevel"/>
    <w:tmpl w:val="541AF336"/>
    <w:lvl w:ilvl="0" w:tplc="04160001">
      <w:start w:val="1"/>
      <w:numFmt w:val="bullet"/>
      <w:lvlText w:val=""/>
      <w:lvlJc w:val="left"/>
      <w:pPr>
        <w:tabs>
          <w:tab w:val="num" w:pos="1004"/>
        </w:tabs>
        <w:ind w:left="1004"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6217E76"/>
    <w:multiLevelType w:val="hybridMultilevel"/>
    <w:tmpl w:val="8EB09E7A"/>
    <w:lvl w:ilvl="0" w:tplc="0B867978">
      <w:start w:val="1"/>
      <w:numFmt w:val="bullet"/>
      <w:lvlText w:val=""/>
      <w:lvlJc w:val="left"/>
      <w:pPr>
        <w:tabs>
          <w:tab w:val="num" w:pos="1004"/>
        </w:tabs>
        <w:ind w:left="1004" w:hanging="360"/>
      </w:pPr>
      <w:rPr>
        <w:rFonts w:ascii="Wingdings" w:hAnsi="Wingdings"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24">
    <w:nsid w:val="5700571D"/>
    <w:multiLevelType w:val="multilevel"/>
    <w:tmpl w:val="C40813F6"/>
    <w:lvl w:ilvl="0">
      <w:start w:val="1"/>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4"/>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5">
    <w:nsid w:val="5D5B40FE"/>
    <w:multiLevelType w:val="multilevel"/>
    <w:tmpl w:val="405EA4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nsid w:val="5E1A43E2"/>
    <w:multiLevelType w:val="hybridMultilevel"/>
    <w:tmpl w:val="EEA6F188"/>
    <w:lvl w:ilvl="0" w:tplc="0B867978">
      <w:start w:val="1"/>
      <w:numFmt w:val="bullet"/>
      <w:lvlText w:val=""/>
      <w:lvlJc w:val="left"/>
      <w:pPr>
        <w:ind w:left="1364" w:hanging="360"/>
      </w:pPr>
      <w:rPr>
        <w:rFonts w:ascii="Wingdings" w:hAnsi="Wingdings"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27">
    <w:nsid w:val="602E7F96"/>
    <w:multiLevelType w:val="hybridMultilevel"/>
    <w:tmpl w:val="B95CB5B6"/>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8">
    <w:nsid w:val="62C74A3A"/>
    <w:multiLevelType w:val="hybridMultilevel"/>
    <w:tmpl w:val="A2D43E92"/>
    <w:lvl w:ilvl="0" w:tplc="ADEA6B7A">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46A0C3D"/>
    <w:multiLevelType w:val="multilevel"/>
    <w:tmpl w:val="D3CE27C4"/>
    <w:lvl w:ilvl="0">
      <w:start w:val="4"/>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30">
    <w:nsid w:val="65675F93"/>
    <w:multiLevelType w:val="hybridMultilevel"/>
    <w:tmpl w:val="987442D4"/>
    <w:lvl w:ilvl="0" w:tplc="0416000B">
      <w:start w:val="1"/>
      <w:numFmt w:val="bullet"/>
      <w:lvlText w:val=""/>
      <w:lvlJc w:val="left"/>
      <w:pPr>
        <w:tabs>
          <w:tab w:val="num" w:pos="1004"/>
        </w:tabs>
        <w:ind w:left="1004" w:hanging="360"/>
      </w:pPr>
      <w:rPr>
        <w:rFonts w:ascii="Wingdings" w:hAnsi="Wingdings"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31">
    <w:nsid w:val="65856C07"/>
    <w:multiLevelType w:val="multilevel"/>
    <w:tmpl w:val="C40813F6"/>
    <w:lvl w:ilvl="0">
      <w:start w:val="1"/>
      <w:numFmt w:val="decimal"/>
      <w:lvlText w:val="%1."/>
      <w:lvlJc w:val="left"/>
      <w:pPr>
        <w:tabs>
          <w:tab w:val="num" w:pos="431"/>
        </w:tabs>
        <w:ind w:left="431" w:hanging="431"/>
      </w:pPr>
      <w:rPr>
        <w:rFonts w:ascii="Tahoma" w:hAnsi="Tahoma" w:hint="default"/>
        <w:b/>
        <w:i w:val="0"/>
        <w:caps/>
        <w:strike w:val="0"/>
        <w:dstrike w:val="0"/>
        <w:vanish w:val="0"/>
        <w:color w:val="000000"/>
        <w:sz w:val="26"/>
        <w:szCs w:val="26"/>
        <w:vertAlign w:val="baseline"/>
      </w:rPr>
    </w:lvl>
    <w:lvl w:ilvl="1">
      <w:start w:val="4"/>
      <w:numFmt w:val="decimal"/>
      <w:lvlText w:val="%1.%2."/>
      <w:lvlJc w:val="left"/>
      <w:pPr>
        <w:tabs>
          <w:tab w:val="num" w:pos="756"/>
        </w:tabs>
        <w:ind w:left="75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32">
    <w:nsid w:val="66E34FCD"/>
    <w:multiLevelType w:val="hybridMultilevel"/>
    <w:tmpl w:val="5C989A38"/>
    <w:lvl w:ilvl="0" w:tplc="0416000B">
      <w:start w:val="1"/>
      <w:numFmt w:val="bullet"/>
      <w:lvlText w:val=""/>
      <w:lvlJc w:val="left"/>
      <w:pPr>
        <w:tabs>
          <w:tab w:val="num" w:pos="1004"/>
        </w:tabs>
        <w:ind w:left="1004" w:hanging="360"/>
      </w:pPr>
      <w:rPr>
        <w:rFonts w:ascii="Wingdings" w:hAnsi="Wingdings"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33">
    <w:nsid w:val="694954D6"/>
    <w:multiLevelType w:val="hybridMultilevel"/>
    <w:tmpl w:val="65E0DC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B5D26BF"/>
    <w:multiLevelType w:val="hybridMultilevel"/>
    <w:tmpl w:val="94F854CC"/>
    <w:lvl w:ilvl="0" w:tplc="75C0D2C6">
      <w:start w:val="1"/>
      <w:numFmt w:val="bullet"/>
      <w:lvlText w:val=""/>
      <w:lvlJc w:val="left"/>
      <w:pPr>
        <w:tabs>
          <w:tab w:val="num" w:pos="1078"/>
        </w:tabs>
        <w:ind w:left="1078" w:hanging="227"/>
      </w:pPr>
      <w:rPr>
        <w:rFonts w:ascii="Symbol" w:hAnsi="Symbol"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35">
    <w:nsid w:val="73AE1E8A"/>
    <w:multiLevelType w:val="multilevel"/>
    <w:tmpl w:val="1168FE3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CEC49E0"/>
    <w:multiLevelType w:val="hybridMultilevel"/>
    <w:tmpl w:val="3CDE8BD4"/>
    <w:lvl w:ilvl="0" w:tplc="04160001">
      <w:start w:val="1"/>
      <w:numFmt w:val="bullet"/>
      <w:lvlText w:val=""/>
      <w:lvlJc w:val="left"/>
      <w:pPr>
        <w:tabs>
          <w:tab w:val="num" w:pos="1004"/>
        </w:tabs>
        <w:ind w:left="1004" w:hanging="360"/>
      </w:pPr>
      <w:rPr>
        <w:rFonts w:ascii="Symbol" w:hAnsi="Symbol" w:hint="default"/>
      </w:rPr>
    </w:lvl>
    <w:lvl w:ilvl="1" w:tplc="04160003" w:tentative="1">
      <w:start w:val="1"/>
      <w:numFmt w:val="bullet"/>
      <w:lvlText w:val="o"/>
      <w:lvlJc w:val="left"/>
      <w:pPr>
        <w:tabs>
          <w:tab w:val="num" w:pos="1724"/>
        </w:tabs>
        <w:ind w:left="1724" w:hanging="360"/>
      </w:pPr>
      <w:rPr>
        <w:rFonts w:ascii="Courier New" w:hAnsi="Courier New" w:cs="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cs="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cs="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37">
    <w:nsid w:val="7DCB38C4"/>
    <w:multiLevelType w:val="hybridMultilevel"/>
    <w:tmpl w:val="4E44F26E"/>
    <w:lvl w:ilvl="0" w:tplc="0416000B">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8">
    <w:nsid w:val="7E613627"/>
    <w:multiLevelType w:val="hybridMultilevel"/>
    <w:tmpl w:val="E780B63A"/>
    <w:lvl w:ilvl="0" w:tplc="7910D74E">
      <w:start w:val="1"/>
      <w:numFmt w:val="decimal"/>
      <w:pStyle w:val="Ttulo2"/>
      <w:lvlText w:val="2.%1"/>
      <w:lvlJc w:val="left"/>
      <w:pPr>
        <w:ind w:left="5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86BAF546">
      <w:start w:val="1"/>
      <w:numFmt w:val="lowerLetter"/>
      <w:lvlText w:val="%2."/>
      <w:lvlJc w:val="left"/>
      <w:pPr>
        <w:ind w:left="1440" w:hanging="360"/>
      </w:pPr>
    </w:lvl>
    <w:lvl w:ilvl="2" w:tplc="0DFA7998" w:tentative="1">
      <w:start w:val="1"/>
      <w:numFmt w:val="lowerRoman"/>
      <w:lvlText w:val="%3."/>
      <w:lvlJc w:val="right"/>
      <w:pPr>
        <w:ind w:left="2160" w:hanging="180"/>
      </w:pPr>
    </w:lvl>
    <w:lvl w:ilvl="3" w:tplc="357C3604" w:tentative="1">
      <w:start w:val="1"/>
      <w:numFmt w:val="decimal"/>
      <w:lvlText w:val="%4."/>
      <w:lvlJc w:val="left"/>
      <w:pPr>
        <w:ind w:left="2880" w:hanging="360"/>
      </w:pPr>
    </w:lvl>
    <w:lvl w:ilvl="4" w:tplc="8D547BB0" w:tentative="1">
      <w:start w:val="1"/>
      <w:numFmt w:val="lowerLetter"/>
      <w:lvlText w:val="%5."/>
      <w:lvlJc w:val="left"/>
      <w:pPr>
        <w:ind w:left="3600" w:hanging="360"/>
      </w:pPr>
    </w:lvl>
    <w:lvl w:ilvl="5" w:tplc="A1C489F4" w:tentative="1">
      <w:start w:val="1"/>
      <w:numFmt w:val="lowerRoman"/>
      <w:lvlText w:val="%6."/>
      <w:lvlJc w:val="right"/>
      <w:pPr>
        <w:ind w:left="4320" w:hanging="180"/>
      </w:pPr>
    </w:lvl>
    <w:lvl w:ilvl="6" w:tplc="C20AA494" w:tentative="1">
      <w:start w:val="1"/>
      <w:numFmt w:val="decimal"/>
      <w:lvlText w:val="%7."/>
      <w:lvlJc w:val="left"/>
      <w:pPr>
        <w:ind w:left="5040" w:hanging="360"/>
      </w:pPr>
    </w:lvl>
    <w:lvl w:ilvl="7" w:tplc="2CF2BD92" w:tentative="1">
      <w:start w:val="1"/>
      <w:numFmt w:val="lowerLetter"/>
      <w:lvlText w:val="%8."/>
      <w:lvlJc w:val="left"/>
      <w:pPr>
        <w:ind w:left="5760" w:hanging="360"/>
      </w:pPr>
    </w:lvl>
    <w:lvl w:ilvl="8" w:tplc="43C8ACE8" w:tentative="1">
      <w:start w:val="1"/>
      <w:numFmt w:val="lowerRoman"/>
      <w:lvlText w:val="%9."/>
      <w:lvlJc w:val="right"/>
      <w:pPr>
        <w:ind w:left="6480" w:hanging="180"/>
      </w:pPr>
    </w:lvl>
  </w:abstractNum>
  <w:num w:numId="1">
    <w:abstractNumId w:val="14"/>
  </w:num>
  <w:num w:numId="2">
    <w:abstractNumId w:val="12"/>
  </w:num>
  <w:num w:numId="3">
    <w:abstractNumId w:val="38"/>
  </w:num>
  <w:num w:numId="4">
    <w:abstractNumId w:val="23"/>
  </w:num>
  <w:num w:numId="5">
    <w:abstractNumId w:val="7"/>
  </w:num>
  <w:num w:numId="6">
    <w:abstractNumId w:val="2"/>
  </w:num>
  <w:num w:numId="7">
    <w:abstractNumId w:val="3"/>
  </w:num>
  <w:num w:numId="8">
    <w:abstractNumId w:val="36"/>
  </w:num>
  <w:num w:numId="9">
    <w:abstractNumId w:val="13"/>
  </w:num>
  <w:num w:numId="10">
    <w:abstractNumId w:val="32"/>
  </w:num>
  <w:num w:numId="11">
    <w:abstractNumId w:val="5"/>
  </w:num>
  <w:num w:numId="12">
    <w:abstractNumId w:val="30"/>
  </w:num>
  <w:num w:numId="13">
    <w:abstractNumId w:val="17"/>
  </w:num>
  <w:num w:numId="14">
    <w:abstractNumId w:val="25"/>
  </w:num>
  <w:num w:numId="15">
    <w:abstractNumId w:val="37"/>
  </w:num>
  <w:num w:numId="16">
    <w:abstractNumId w:val="11"/>
  </w:num>
  <w:num w:numId="17">
    <w:abstractNumId w:val="33"/>
  </w:num>
  <w:num w:numId="18">
    <w:abstractNumId w:val="27"/>
  </w:num>
  <w:num w:numId="19">
    <w:abstractNumId w:val="19"/>
  </w:num>
  <w:num w:numId="20">
    <w:abstractNumId w:val="35"/>
  </w:num>
  <w:num w:numId="21">
    <w:abstractNumId w:val="22"/>
  </w:num>
  <w:num w:numId="22">
    <w:abstractNumId w:val="9"/>
  </w:num>
  <w:num w:numId="23">
    <w:abstractNumId w:val="20"/>
  </w:num>
  <w:num w:numId="24">
    <w:abstractNumId w:val="14"/>
  </w:num>
  <w:num w:numId="25">
    <w:abstractNumId w:val="14"/>
  </w:num>
  <w:num w:numId="26">
    <w:abstractNumId w:val="14"/>
  </w:num>
  <w:num w:numId="27">
    <w:abstractNumId w:val="14"/>
  </w:num>
  <w:num w:numId="28">
    <w:abstractNumId w:val="6"/>
  </w:num>
  <w:num w:numId="29">
    <w:abstractNumId w:val="31"/>
  </w:num>
  <w:num w:numId="30">
    <w:abstractNumId w:val="8"/>
  </w:num>
  <w:num w:numId="31">
    <w:abstractNumId w:val="24"/>
  </w:num>
  <w:num w:numId="32">
    <w:abstractNumId w:val="18"/>
  </w:num>
  <w:num w:numId="33">
    <w:abstractNumId w:val="21"/>
  </w:num>
  <w:num w:numId="34">
    <w:abstractNumId w:val="29"/>
  </w:num>
  <w:num w:numId="35">
    <w:abstractNumId w:val="16"/>
  </w:num>
  <w:num w:numId="36">
    <w:abstractNumId w:val="4"/>
  </w:num>
  <w:num w:numId="37">
    <w:abstractNumId w:val="10"/>
  </w:num>
  <w:num w:numId="3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
  </w:num>
  <w:num w:numId="41">
    <w:abstractNumId w:val="34"/>
  </w:num>
  <w:num w:numId="42">
    <w:abstractNumId w:val="38"/>
  </w:num>
  <w:num w:numId="43">
    <w:abstractNumId w:val="14"/>
  </w:num>
  <w:num w:numId="44">
    <w:abstractNumId w:val="15"/>
  </w:num>
  <w:num w:numId="45">
    <w:abstractNumId w:val="28"/>
  </w:num>
  <w:num w:numId="46">
    <w:abstractNumId w:val="14"/>
  </w:num>
  <w:num w:numId="47">
    <w:abstractNumId w:val="14"/>
  </w:num>
  <w:num w:numId="48">
    <w:abstractNumId w:val="14"/>
  </w:num>
  <w:num w:numId="49">
    <w:abstractNumId w:val="2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attachedTemplate r:id="rId1"/>
  <w:stylePaneFormatFilter w:val="3F01"/>
  <w:trackRevisions/>
  <w:defaultTabStop w:val="708"/>
  <w:hyphenationZone w:val="425"/>
  <w:drawingGridHorizontalSpacing w:val="120"/>
  <w:displayHorizontalDrawingGridEvery w:val="2"/>
  <w:noPunctuationKerning/>
  <w:characterSpacingControl w:val="doNotCompress"/>
  <w:hdrShapeDefaults>
    <o:shapedefaults v:ext="edit" spidmax="22533">
      <o:colormru v:ext="edit" colors="#06c,#52c5e0"/>
    </o:shapedefaults>
    <o:shapelayout v:ext="edit">
      <o:idmap v:ext="edit" data="22"/>
    </o:shapelayout>
  </w:hdrShapeDefaults>
  <w:footnotePr>
    <w:footnote w:id="-1"/>
    <w:footnote w:id="0"/>
  </w:footnotePr>
  <w:endnotePr>
    <w:endnote w:id="-1"/>
    <w:endnote w:id="0"/>
  </w:endnotePr>
  <w:compat/>
  <w:rsids>
    <w:rsidRoot w:val="005360B9"/>
    <w:rsid w:val="00001019"/>
    <w:rsid w:val="000014C4"/>
    <w:rsid w:val="00001650"/>
    <w:rsid w:val="00001FCA"/>
    <w:rsid w:val="00003069"/>
    <w:rsid w:val="00003DC0"/>
    <w:rsid w:val="00004D54"/>
    <w:rsid w:val="0001249F"/>
    <w:rsid w:val="000135E7"/>
    <w:rsid w:val="00013F9D"/>
    <w:rsid w:val="00014557"/>
    <w:rsid w:val="00014A80"/>
    <w:rsid w:val="00020686"/>
    <w:rsid w:val="0002095F"/>
    <w:rsid w:val="00022ED2"/>
    <w:rsid w:val="00023217"/>
    <w:rsid w:val="00023D93"/>
    <w:rsid w:val="00024CB4"/>
    <w:rsid w:val="0003252C"/>
    <w:rsid w:val="00032E72"/>
    <w:rsid w:val="0003514A"/>
    <w:rsid w:val="00035B8F"/>
    <w:rsid w:val="00037819"/>
    <w:rsid w:val="00046B5A"/>
    <w:rsid w:val="00051E17"/>
    <w:rsid w:val="00052696"/>
    <w:rsid w:val="0005430E"/>
    <w:rsid w:val="0005791F"/>
    <w:rsid w:val="00057DC7"/>
    <w:rsid w:val="00060E67"/>
    <w:rsid w:val="00063FFC"/>
    <w:rsid w:val="0006430F"/>
    <w:rsid w:val="000646A5"/>
    <w:rsid w:val="00066F5F"/>
    <w:rsid w:val="000672A7"/>
    <w:rsid w:val="00067B07"/>
    <w:rsid w:val="00074803"/>
    <w:rsid w:val="00074DBB"/>
    <w:rsid w:val="00076A73"/>
    <w:rsid w:val="00081674"/>
    <w:rsid w:val="000818BC"/>
    <w:rsid w:val="00084EE3"/>
    <w:rsid w:val="00094DB2"/>
    <w:rsid w:val="0009706F"/>
    <w:rsid w:val="000973FE"/>
    <w:rsid w:val="000979CF"/>
    <w:rsid w:val="000A14BE"/>
    <w:rsid w:val="000A2331"/>
    <w:rsid w:val="000A25AF"/>
    <w:rsid w:val="000B07FC"/>
    <w:rsid w:val="000B23F9"/>
    <w:rsid w:val="000B2580"/>
    <w:rsid w:val="000B2958"/>
    <w:rsid w:val="000B2E46"/>
    <w:rsid w:val="000B3CF9"/>
    <w:rsid w:val="000B4ACF"/>
    <w:rsid w:val="000B74D8"/>
    <w:rsid w:val="000C1082"/>
    <w:rsid w:val="000C15E0"/>
    <w:rsid w:val="000C7DB1"/>
    <w:rsid w:val="000D1DCC"/>
    <w:rsid w:val="000D47D7"/>
    <w:rsid w:val="000D57AC"/>
    <w:rsid w:val="000D5B3B"/>
    <w:rsid w:val="000D5D85"/>
    <w:rsid w:val="000E171A"/>
    <w:rsid w:val="000E300A"/>
    <w:rsid w:val="000E7AAF"/>
    <w:rsid w:val="000F1AC8"/>
    <w:rsid w:val="000F36F3"/>
    <w:rsid w:val="000F5D17"/>
    <w:rsid w:val="000F64A5"/>
    <w:rsid w:val="000F7FCA"/>
    <w:rsid w:val="001001DA"/>
    <w:rsid w:val="001035F4"/>
    <w:rsid w:val="00103CC6"/>
    <w:rsid w:val="00104C67"/>
    <w:rsid w:val="00105CC6"/>
    <w:rsid w:val="00110CD4"/>
    <w:rsid w:val="00112D10"/>
    <w:rsid w:val="0011524C"/>
    <w:rsid w:val="001154D2"/>
    <w:rsid w:val="00117911"/>
    <w:rsid w:val="00120F10"/>
    <w:rsid w:val="00121DDA"/>
    <w:rsid w:val="001227F0"/>
    <w:rsid w:val="0013151D"/>
    <w:rsid w:val="001315EB"/>
    <w:rsid w:val="00131B18"/>
    <w:rsid w:val="00131B5C"/>
    <w:rsid w:val="001334D8"/>
    <w:rsid w:val="001412A3"/>
    <w:rsid w:val="00141C2C"/>
    <w:rsid w:val="00141FCD"/>
    <w:rsid w:val="00142122"/>
    <w:rsid w:val="00142A4E"/>
    <w:rsid w:val="00146A74"/>
    <w:rsid w:val="00146C31"/>
    <w:rsid w:val="00146E17"/>
    <w:rsid w:val="001532D0"/>
    <w:rsid w:val="00155840"/>
    <w:rsid w:val="00157F62"/>
    <w:rsid w:val="00161242"/>
    <w:rsid w:val="00166467"/>
    <w:rsid w:val="0016687C"/>
    <w:rsid w:val="00166B43"/>
    <w:rsid w:val="00167139"/>
    <w:rsid w:val="0017176D"/>
    <w:rsid w:val="0017382A"/>
    <w:rsid w:val="00174424"/>
    <w:rsid w:val="00174BFD"/>
    <w:rsid w:val="00175747"/>
    <w:rsid w:val="00175BCD"/>
    <w:rsid w:val="001807E4"/>
    <w:rsid w:val="00180C75"/>
    <w:rsid w:val="00181E67"/>
    <w:rsid w:val="00182897"/>
    <w:rsid w:val="00183FAC"/>
    <w:rsid w:val="001857E2"/>
    <w:rsid w:val="00185829"/>
    <w:rsid w:val="001869E2"/>
    <w:rsid w:val="00190494"/>
    <w:rsid w:val="00191223"/>
    <w:rsid w:val="00192508"/>
    <w:rsid w:val="0019251C"/>
    <w:rsid w:val="00194C3D"/>
    <w:rsid w:val="00196339"/>
    <w:rsid w:val="0019757B"/>
    <w:rsid w:val="001A118D"/>
    <w:rsid w:val="001A402D"/>
    <w:rsid w:val="001A6377"/>
    <w:rsid w:val="001A6C6B"/>
    <w:rsid w:val="001B0DBF"/>
    <w:rsid w:val="001B13BC"/>
    <w:rsid w:val="001B144F"/>
    <w:rsid w:val="001B2275"/>
    <w:rsid w:val="001B2E40"/>
    <w:rsid w:val="001B37A2"/>
    <w:rsid w:val="001B3CCC"/>
    <w:rsid w:val="001B42AC"/>
    <w:rsid w:val="001B4B69"/>
    <w:rsid w:val="001B6ECB"/>
    <w:rsid w:val="001B7406"/>
    <w:rsid w:val="001C16EC"/>
    <w:rsid w:val="001C3CBB"/>
    <w:rsid w:val="001C4A43"/>
    <w:rsid w:val="001C5317"/>
    <w:rsid w:val="001D029C"/>
    <w:rsid w:val="001D0756"/>
    <w:rsid w:val="001D2436"/>
    <w:rsid w:val="001D267F"/>
    <w:rsid w:val="001D7A83"/>
    <w:rsid w:val="001E02FB"/>
    <w:rsid w:val="001E037E"/>
    <w:rsid w:val="001E103B"/>
    <w:rsid w:val="001E1864"/>
    <w:rsid w:val="001E1CB4"/>
    <w:rsid w:val="001E28A6"/>
    <w:rsid w:val="001E501B"/>
    <w:rsid w:val="001E5783"/>
    <w:rsid w:val="001E6CB0"/>
    <w:rsid w:val="001E7167"/>
    <w:rsid w:val="001F0D66"/>
    <w:rsid w:val="001F3F49"/>
    <w:rsid w:val="00200374"/>
    <w:rsid w:val="00202CE0"/>
    <w:rsid w:val="00203A89"/>
    <w:rsid w:val="002049CF"/>
    <w:rsid w:val="00210433"/>
    <w:rsid w:val="002104DD"/>
    <w:rsid w:val="00212335"/>
    <w:rsid w:val="00215212"/>
    <w:rsid w:val="00215F53"/>
    <w:rsid w:val="002162EA"/>
    <w:rsid w:val="0022229A"/>
    <w:rsid w:val="002242E6"/>
    <w:rsid w:val="00224C2D"/>
    <w:rsid w:val="0022677E"/>
    <w:rsid w:val="0022787D"/>
    <w:rsid w:val="002348ED"/>
    <w:rsid w:val="00234BCC"/>
    <w:rsid w:val="00235BE0"/>
    <w:rsid w:val="00236A07"/>
    <w:rsid w:val="00237801"/>
    <w:rsid w:val="00240E84"/>
    <w:rsid w:val="002429E4"/>
    <w:rsid w:val="002448FB"/>
    <w:rsid w:val="00245EB2"/>
    <w:rsid w:val="0025025E"/>
    <w:rsid w:val="00252721"/>
    <w:rsid w:val="00253704"/>
    <w:rsid w:val="00254967"/>
    <w:rsid w:val="002566D6"/>
    <w:rsid w:val="002665E2"/>
    <w:rsid w:val="00267E14"/>
    <w:rsid w:val="002708A7"/>
    <w:rsid w:val="00270974"/>
    <w:rsid w:val="00270FBE"/>
    <w:rsid w:val="00274C93"/>
    <w:rsid w:val="00276A5A"/>
    <w:rsid w:val="00277A31"/>
    <w:rsid w:val="00284072"/>
    <w:rsid w:val="00286A40"/>
    <w:rsid w:val="00287AC5"/>
    <w:rsid w:val="00287EA2"/>
    <w:rsid w:val="00292C62"/>
    <w:rsid w:val="002953FA"/>
    <w:rsid w:val="00295431"/>
    <w:rsid w:val="002A6B3E"/>
    <w:rsid w:val="002A7822"/>
    <w:rsid w:val="002A7DD1"/>
    <w:rsid w:val="002B2D77"/>
    <w:rsid w:val="002B6A56"/>
    <w:rsid w:val="002C0D3F"/>
    <w:rsid w:val="002C263F"/>
    <w:rsid w:val="002C325D"/>
    <w:rsid w:val="002C3CDB"/>
    <w:rsid w:val="002C3D18"/>
    <w:rsid w:val="002C554A"/>
    <w:rsid w:val="002C7126"/>
    <w:rsid w:val="002D0117"/>
    <w:rsid w:val="002D105C"/>
    <w:rsid w:val="002D131A"/>
    <w:rsid w:val="002D3158"/>
    <w:rsid w:val="002E0F31"/>
    <w:rsid w:val="002E1D68"/>
    <w:rsid w:val="002E30CE"/>
    <w:rsid w:val="002E766C"/>
    <w:rsid w:val="002E7EF0"/>
    <w:rsid w:val="002F13E5"/>
    <w:rsid w:val="002F4D6C"/>
    <w:rsid w:val="003007F6"/>
    <w:rsid w:val="00300F3B"/>
    <w:rsid w:val="00304856"/>
    <w:rsid w:val="00305947"/>
    <w:rsid w:val="00311C0A"/>
    <w:rsid w:val="00312F90"/>
    <w:rsid w:val="00313860"/>
    <w:rsid w:val="00314CBD"/>
    <w:rsid w:val="00317769"/>
    <w:rsid w:val="00317CF0"/>
    <w:rsid w:val="00320CFC"/>
    <w:rsid w:val="0032112B"/>
    <w:rsid w:val="00321BB0"/>
    <w:rsid w:val="00321C24"/>
    <w:rsid w:val="00324546"/>
    <w:rsid w:val="00325084"/>
    <w:rsid w:val="0032602F"/>
    <w:rsid w:val="00326DC7"/>
    <w:rsid w:val="003277ED"/>
    <w:rsid w:val="0033089A"/>
    <w:rsid w:val="0033427E"/>
    <w:rsid w:val="003359C1"/>
    <w:rsid w:val="003360E2"/>
    <w:rsid w:val="00336897"/>
    <w:rsid w:val="00336C4C"/>
    <w:rsid w:val="003402F2"/>
    <w:rsid w:val="00343D3C"/>
    <w:rsid w:val="00344099"/>
    <w:rsid w:val="003466B0"/>
    <w:rsid w:val="00350AA6"/>
    <w:rsid w:val="00350D3A"/>
    <w:rsid w:val="003534C9"/>
    <w:rsid w:val="00362267"/>
    <w:rsid w:val="00362586"/>
    <w:rsid w:val="00362CFC"/>
    <w:rsid w:val="003671D9"/>
    <w:rsid w:val="00367439"/>
    <w:rsid w:val="00373BC3"/>
    <w:rsid w:val="0037590D"/>
    <w:rsid w:val="00375E3E"/>
    <w:rsid w:val="00377388"/>
    <w:rsid w:val="00377CDF"/>
    <w:rsid w:val="00386A73"/>
    <w:rsid w:val="00390B86"/>
    <w:rsid w:val="00391297"/>
    <w:rsid w:val="00391DB4"/>
    <w:rsid w:val="003977E9"/>
    <w:rsid w:val="00397BBC"/>
    <w:rsid w:val="003A2211"/>
    <w:rsid w:val="003A27C5"/>
    <w:rsid w:val="003A3386"/>
    <w:rsid w:val="003A3438"/>
    <w:rsid w:val="003A3D70"/>
    <w:rsid w:val="003A4E14"/>
    <w:rsid w:val="003A5476"/>
    <w:rsid w:val="003A6373"/>
    <w:rsid w:val="003A7C93"/>
    <w:rsid w:val="003B68DF"/>
    <w:rsid w:val="003B75DE"/>
    <w:rsid w:val="003B7C03"/>
    <w:rsid w:val="003C0CD4"/>
    <w:rsid w:val="003C19E7"/>
    <w:rsid w:val="003C2169"/>
    <w:rsid w:val="003C222C"/>
    <w:rsid w:val="003C3010"/>
    <w:rsid w:val="003C3013"/>
    <w:rsid w:val="003C3C91"/>
    <w:rsid w:val="003C7AB6"/>
    <w:rsid w:val="003C7E09"/>
    <w:rsid w:val="003D0648"/>
    <w:rsid w:val="003D1549"/>
    <w:rsid w:val="003D341C"/>
    <w:rsid w:val="003D5E5B"/>
    <w:rsid w:val="003D7475"/>
    <w:rsid w:val="003E7896"/>
    <w:rsid w:val="003F0507"/>
    <w:rsid w:val="003F2227"/>
    <w:rsid w:val="003F289F"/>
    <w:rsid w:val="003F37D9"/>
    <w:rsid w:val="003F4391"/>
    <w:rsid w:val="003F4B1C"/>
    <w:rsid w:val="003F7031"/>
    <w:rsid w:val="004004B5"/>
    <w:rsid w:val="00400C87"/>
    <w:rsid w:val="00403087"/>
    <w:rsid w:val="00403C3B"/>
    <w:rsid w:val="00406019"/>
    <w:rsid w:val="0040688A"/>
    <w:rsid w:val="00406AC3"/>
    <w:rsid w:val="00407B8F"/>
    <w:rsid w:val="004117EB"/>
    <w:rsid w:val="00413921"/>
    <w:rsid w:val="00414F2F"/>
    <w:rsid w:val="004166E8"/>
    <w:rsid w:val="00420052"/>
    <w:rsid w:val="00420850"/>
    <w:rsid w:val="00421398"/>
    <w:rsid w:val="00422803"/>
    <w:rsid w:val="00423337"/>
    <w:rsid w:val="004235D4"/>
    <w:rsid w:val="00423919"/>
    <w:rsid w:val="00431FBE"/>
    <w:rsid w:val="00435B59"/>
    <w:rsid w:val="00440878"/>
    <w:rsid w:val="00443B4F"/>
    <w:rsid w:val="00444305"/>
    <w:rsid w:val="004443E0"/>
    <w:rsid w:val="00444806"/>
    <w:rsid w:val="00444CDC"/>
    <w:rsid w:val="00444FEF"/>
    <w:rsid w:val="004454D9"/>
    <w:rsid w:val="0044556E"/>
    <w:rsid w:val="00445FC2"/>
    <w:rsid w:val="00451AF4"/>
    <w:rsid w:val="00454795"/>
    <w:rsid w:val="00461B57"/>
    <w:rsid w:val="00463888"/>
    <w:rsid w:val="00464A6B"/>
    <w:rsid w:val="004652AE"/>
    <w:rsid w:val="00466861"/>
    <w:rsid w:val="00466A93"/>
    <w:rsid w:val="00466C2E"/>
    <w:rsid w:val="004676FF"/>
    <w:rsid w:val="00470AA8"/>
    <w:rsid w:val="0047113F"/>
    <w:rsid w:val="00471861"/>
    <w:rsid w:val="00473A3E"/>
    <w:rsid w:val="00476784"/>
    <w:rsid w:val="0047778E"/>
    <w:rsid w:val="00480658"/>
    <w:rsid w:val="004812F8"/>
    <w:rsid w:val="0048220B"/>
    <w:rsid w:val="00484FAF"/>
    <w:rsid w:val="00485C04"/>
    <w:rsid w:val="00485FDD"/>
    <w:rsid w:val="0049151C"/>
    <w:rsid w:val="004917CE"/>
    <w:rsid w:val="0049477C"/>
    <w:rsid w:val="00496BBA"/>
    <w:rsid w:val="00496C3A"/>
    <w:rsid w:val="004A15D8"/>
    <w:rsid w:val="004A1A07"/>
    <w:rsid w:val="004A3615"/>
    <w:rsid w:val="004A6278"/>
    <w:rsid w:val="004A7260"/>
    <w:rsid w:val="004A769E"/>
    <w:rsid w:val="004B054D"/>
    <w:rsid w:val="004B0AE0"/>
    <w:rsid w:val="004B239D"/>
    <w:rsid w:val="004B24D8"/>
    <w:rsid w:val="004B24FC"/>
    <w:rsid w:val="004B310B"/>
    <w:rsid w:val="004B395E"/>
    <w:rsid w:val="004B47DB"/>
    <w:rsid w:val="004B706F"/>
    <w:rsid w:val="004B7876"/>
    <w:rsid w:val="004C2803"/>
    <w:rsid w:val="004C34DB"/>
    <w:rsid w:val="004C3BC5"/>
    <w:rsid w:val="004C5DC4"/>
    <w:rsid w:val="004C6F3C"/>
    <w:rsid w:val="004D030B"/>
    <w:rsid w:val="004D0A41"/>
    <w:rsid w:val="004D10C7"/>
    <w:rsid w:val="004E14B6"/>
    <w:rsid w:val="004E4689"/>
    <w:rsid w:val="004E4E07"/>
    <w:rsid w:val="004E5AC8"/>
    <w:rsid w:val="004F26EC"/>
    <w:rsid w:val="004F31C1"/>
    <w:rsid w:val="005010DA"/>
    <w:rsid w:val="005016AD"/>
    <w:rsid w:val="00502B48"/>
    <w:rsid w:val="005052A2"/>
    <w:rsid w:val="00506D5C"/>
    <w:rsid w:val="00511071"/>
    <w:rsid w:val="005154F3"/>
    <w:rsid w:val="00520E28"/>
    <w:rsid w:val="00522401"/>
    <w:rsid w:val="0052392D"/>
    <w:rsid w:val="00523BB4"/>
    <w:rsid w:val="005262D4"/>
    <w:rsid w:val="00526E7D"/>
    <w:rsid w:val="00527E9A"/>
    <w:rsid w:val="00532EAA"/>
    <w:rsid w:val="00535EAB"/>
    <w:rsid w:val="005360B9"/>
    <w:rsid w:val="005360BF"/>
    <w:rsid w:val="0053758E"/>
    <w:rsid w:val="00537735"/>
    <w:rsid w:val="00542AF1"/>
    <w:rsid w:val="005442A6"/>
    <w:rsid w:val="00544C4A"/>
    <w:rsid w:val="00545A5F"/>
    <w:rsid w:val="00546008"/>
    <w:rsid w:val="00547BEE"/>
    <w:rsid w:val="005517E1"/>
    <w:rsid w:val="00553789"/>
    <w:rsid w:val="00553B96"/>
    <w:rsid w:val="005602AC"/>
    <w:rsid w:val="00560EC1"/>
    <w:rsid w:val="005624CE"/>
    <w:rsid w:val="00566C40"/>
    <w:rsid w:val="00567222"/>
    <w:rsid w:val="005673CE"/>
    <w:rsid w:val="005701D1"/>
    <w:rsid w:val="00573A76"/>
    <w:rsid w:val="0057644C"/>
    <w:rsid w:val="005823B7"/>
    <w:rsid w:val="00582534"/>
    <w:rsid w:val="005832B3"/>
    <w:rsid w:val="00583C11"/>
    <w:rsid w:val="0058454A"/>
    <w:rsid w:val="00585081"/>
    <w:rsid w:val="005850FB"/>
    <w:rsid w:val="0058713F"/>
    <w:rsid w:val="00590F58"/>
    <w:rsid w:val="00592F7D"/>
    <w:rsid w:val="005972D1"/>
    <w:rsid w:val="005972FB"/>
    <w:rsid w:val="005A2F57"/>
    <w:rsid w:val="005A3D1D"/>
    <w:rsid w:val="005A4A46"/>
    <w:rsid w:val="005A5690"/>
    <w:rsid w:val="005A7E97"/>
    <w:rsid w:val="005B03DE"/>
    <w:rsid w:val="005B045D"/>
    <w:rsid w:val="005B5CE9"/>
    <w:rsid w:val="005B6DE9"/>
    <w:rsid w:val="005C241E"/>
    <w:rsid w:val="005C7F42"/>
    <w:rsid w:val="005D0E41"/>
    <w:rsid w:val="005D0FA8"/>
    <w:rsid w:val="005D21A2"/>
    <w:rsid w:val="005D31A7"/>
    <w:rsid w:val="005D3C0C"/>
    <w:rsid w:val="005D4029"/>
    <w:rsid w:val="005D4FD2"/>
    <w:rsid w:val="005D5016"/>
    <w:rsid w:val="005D5A81"/>
    <w:rsid w:val="005D7B1D"/>
    <w:rsid w:val="005E43F0"/>
    <w:rsid w:val="005E4B7F"/>
    <w:rsid w:val="005E4BBA"/>
    <w:rsid w:val="005E5320"/>
    <w:rsid w:val="005E54E0"/>
    <w:rsid w:val="005F1776"/>
    <w:rsid w:val="005F2FBD"/>
    <w:rsid w:val="005F60C0"/>
    <w:rsid w:val="005F6397"/>
    <w:rsid w:val="00600E9B"/>
    <w:rsid w:val="00605B5F"/>
    <w:rsid w:val="00605D17"/>
    <w:rsid w:val="0060609F"/>
    <w:rsid w:val="006072A5"/>
    <w:rsid w:val="00607F98"/>
    <w:rsid w:val="00610797"/>
    <w:rsid w:val="00611F9A"/>
    <w:rsid w:val="00612A6E"/>
    <w:rsid w:val="00612B60"/>
    <w:rsid w:val="00615D7B"/>
    <w:rsid w:val="0061651C"/>
    <w:rsid w:val="00621C9A"/>
    <w:rsid w:val="00621E50"/>
    <w:rsid w:val="00622AC4"/>
    <w:rsid w:val="00625D39"/>
    <w:rsid w:val="00630508"/>
    <w:rsid w:val="0063067F"/>
    <w:rsid w:val="0063094D"/>
    <w:rsid w:val="006343D9"/>
    <w:rsid w:val="00634ADE"/>
    <w:rsid w:val="0063564B"/>
    <w:rsid w:val="00637991"/>
    <w:rsid w:val="006408B1"/>
    <w:rsid w:val="006408CC"/>
    <w:rsid w:val="00645DDA"/>
    <w:rsid w:val="00647EC1"/>
    <w:rsid w:val="00650447"/>
    <w:rsid w:val="00650D46"/>
    <w:rsid w:val="00655048"/>
    <w:rsid w:val="006551FB"/>
    <w:rsid w:val="00661174"/>
    <w:rsid w:val="00661E33"/>
    <w:rsid w:val="0066637C"/>
    <w:rsid w:val="00671007"/>
    <w:rsid w:val="00672A5B"/>
    <w:rsid w:val="006764A1"/>
    <w:rsid w:val="0068277E"/>
    <w:rsid w:val="00691465"/>
    <w:rsid w:val="00692F34"/>
    <w:rsid w:val="0069384E"/>
    <w:rsid w:val="00693B25"/>
    <w:rsid w:val="00695ADD"/>
    <w:rsid w:val="006A3DE8"/>
    <w:rsid w:val="006B4D7C"/>
    <w:rsid w:val="006B4DDC"/>
    <w:rsid w:val="006B648B"/>
    <w:rsid w:val="006B663E"/>
    <w:rsid w:val="006B6EE6"/>
    <w:rsid w:val="006B6F7B"/>
    <w:rsid w:val="006C1570"/>
    <w:rsid w:val="006C218A"/>
    <w:rsid w:val="006C3B95"/>
    <w:rsid w:val="006C5086"/>
    <w:rsid w:val="006D1A54"/>
    <w:rsid w:val="006D1AF3"/>
    <w:rsid w:val="006D51FA"/>
    <w:rsid w:val="006D6937"/>
    <w:rsid w:val="006D6ED4"/>
    <w:rsid w:val="006E2825"/>
    <w:rsid w:val="006E3187"/>
    <w:rsid w:val="006E46B2"/>
    <w:rsid w:val="006E4C44"/>
    <w:rsid w:val="007048FE"/>
    <w:rsid w:val="00705BE5"/>
    <w:rsid w:val="0071014A"/>
    <w:rsid w:val="00710305"/>
    <w:rsid w:val="00710E31"/>
    <w:rsid w:val="00710FDD"/>
    <w:rsid w:val="007159F2"/>
    <w:rsid w:val="0071632E"/>
    <w:rsid w:val="007215C5"/>
    <w:rsid w:val="00722820"/>
    <w:rsid w:val="00726781"/>
    <w:rsid w:val="00726C17"/>
    <w:rsid w:val="007273E5"/>
    <w:rsid w:val="00731FCF"/>
    <w:rsid w:val="00733E74"/>
    <w:rsid w:val="007348AE"/>
    <w:rsid w:val="00734EAE"/>
    <w:rsid w:val="0073512E"/>
    <w:rsid w:val="00735DCD"/>
    <w:rsid w:val="0074138A"/>
    <w:rsid w:val="0074163E"/>
    <w:rsid w:val="0074493A"/>
    <w:rsid w:val="00744B02"/>
    <w:rsid w:val="00745961"/>
    <w:rsid w:val="00751A13"/>
    <w:rsid w:val="0075258A"/>
    <w:rsid w:val="007526A8"/>
    <w:rsid w:val="007550A7"/>
    <w:rsid w:val="00755428"/>
    <w:rsid w:val="0075544A"/>
    <w:rsid w:val="00756A5F"/>
    <w:rsid w:val="00760FC1"/>
    <w:rsid w:val="007616E8"/>
    <w:rsid w:val="00761C0D"/>
    <w:rsid w:val="00762391"/>
    <w:rsid w:val="00762792"/>
    <w:rsid w:val="0076301D"/>
    <w:rsid w:val="007631F3"/>
    <w:rsid w:val="007636F1"/>
    <w:rsid w:val="00765875"/>
    <w:rsid w:val="00771279"/>
    <w:rsid w:val="007726C4"/>
    <w:rsid w:val="00772F29"/>
    <w:rsid w:val="007744BB"/>
    <w:rsid w:val="00777DC9"/>
    <w:rsid w:val="0078004E"/>
    <w:rsid w:val="00780A99"/>
    <w:rsid w:val="00781594"/>
    <w:rsid w:val="00782EFC"/>
    <w:rsid w:val="0078764C"/>
    <w:rsid w:val="00787EE2"/>
    <w:rsid w:val="00793D40"/>
    <w:rsid w:val="00794121"/>
    <w:rsid w:val="00794515"/>
    <w:rsid w:val="00795E50"/>
    <w:rsid w:val="007961D7"/>
    <w:rsid w:val="007A00E8"/>
    <w:rsid w:val="007A60B7"/>
    <w:rsid w:val="007A6C75"/>
    <w:rsid w:val="007B1CE7"/>
    <w:rsid w:val="007B2EEA"/>
    <w:rsid w:val="007B4010"/>
    <w:rsid w:val="007B7D30"/>
    <w:rsid w:val="007C0732"/>
    <w:rsid w:val="007C28BE"/>
    <w:rsid w:val="007C4DBE"/>
    <w:rsid w:val="007C636B"/>
    <w:rsid w:val="007D035C"/>
    <w:rsid w:val="007D05D6"/>
    <w:rsid w:val="007D06CF"/>
    <w:rsid w:val="007D1A7D"/>
    <w:rsid w:val="007D1AAE"/>
    <w:rsid w:val="007D24EA"/>
    <w:rsid w:val="007D59EB"/>
    <w:rsid w:val="007D6230"/>
    <w:rsid w:val="007E4445"/>
    <w:rsid w:val="007E4C1A"/>
    <w:rsid w:val="007E5C59"/>
    <w:rsid w:val="007E6F7B"/>
    <w:rsid w:val="007E7C68"/>
    <w:rsid w:val="007F4162"/>
    <w:rsid w:val="007F53C8"/>
    <w:rsid w:val="007F5995"/>
    <w:rsid w:val="007F7466"/>
    <w:rsid w:val="007F7668"/>
    <w:rsid w:val="007F798B"/>
    <w:rsid w:val="00800637"/>
    <w:rsid w:val="00801B23"/>
    <w:rsid w:val="00807621"/>
    <w:rsid w:val="00815728"/>
    <w:rsid w:val="008176D6"/>
    <w:rsid w:val="00817F3E"/>
    <w:rsid w:val="0082093A"/>
    <w:rsid w:val="00820CBB"/>
    <w:rsid w:val="0082172C"/>
    <w:rsid w:val="008220F4"/>
    <w:rsid w:val="0083369B"/>
    <w:rsid w:val="00833B11"/>
    <w:rsid w:val="00835467"/>
    <w:rsid w:val="00837EEA"/>
    <w:rsid w:val="00840919"/>
    <w:rsid w:val="00846629"/>
    <w:rsid w:val="00846907"/>
    <w:rsid w:val="00846C44"/>
    <w:rsid w:val="008502B2"/>
    <w:rsid w:val="008507C2"/>
    <w:rsid w:val="0085329D"/>
    <w:rsid w:val="00853484"/>
    <w:rsid w:val="00854D20"/>
    <w:rsid w:val="00855DE0"/>
    <w:rsid w:val="00857E90"/>
    <w:rsid w:val="00857F10"/>
    <w:rsid w:val="00860016"/>
    <w:rsid w:val="00863572"/>
    <w:rsid w:val="00864703"/>
    <w:rsid w:val="00867371"/>
    <w:rsid w:val="0087582E"/>
    <w:rsid w:val="0087583A"/>
    <w:rsid w:val="00876EA8"/>
    <w:rsid w:val="008802B0"/>
    <w:rsid w:val="008816E1"/>
    <w:rsid w:val="0088632B"/>
    <w:rsid w:val="008868EB"/>
    <w:rsid w:val="00887F26"/>
    <w:rsid w:val="0089088A"/>
    <w:rsid w:val="00890DA2"/>
    <w:rsid w:val="00891595"/>
    <w:rsid w:val="008929F4"/>
    <w:rsid w:val="00896FAD"/>
    <w:rsid w:val="00897CDC"/>
    <w:rsid w:val="008A1083"/>
    <w:rsid w:val="008A10D8"/>
    <w:rsid w:val="008A3D90"/>
    <w:rsid w:val="008A534A"/>
    <w:rsid w:val="008B4D28"/>
    <w:rsid w:val="008B559B"/>
    <w:rsid w:val="008B56A8"/>
    <w:rsid w:val="008B6B77"/>
    <w:rsid w:val="008B7984"/>
    <w:rsid w:val="008B7BF5"/>
    <w:rsid w:val="008C165B"/>
    <w:rsid w:val="008C1996"/>
    <w:rsid w:val="008C2789"/>
    <w:rsid w:val="008C3572"/>
    <w:rsid w:val="008C3917"/>
    <w:rsid w:val="008C467A"/>
    <w:rsid w:val="008C64FB"/>
    <w:rsid w:val="008D2AD4"/>
    <w:rsid w:val="008D4CF1"/>
    <w:rsid w:val="008D699A"/>
    <w:rsid w:val="008E29BE"/>
    <w:rsid w:val="008E4A3C"/>
    <w:rsid w:val="008E5433"/>
    <w:rsid w:val="008E5E9E"/>
    <w:rsid w:val="008E5EF8"/>
    <w:rsid w:val="008E6E40"/>
    <w:rsid w:val="008F146A"/>
    <w:rsid w:val="008F204A"/>
    <w:rsid w:val="008F379D"/>
    <w:rsid w:val="008F5D39"/>
    <w:rsid w:val="008F6D7A"/>
    <w:rsid w:val="008F746E"/>
    <w:rsid w:val="00901500"/>
    <w:rsid w:val="009028F5"/>
    <w:rsid w:val="009038F7"/>
    <w:rsid w:val="00904709"/>
    <w:rsid w:val="00906D60"/>
    <w:rsid w:val="009102D3"/>
    <w:rsid w:val="009103EC"/>
    <w:rsid w:val="00910EFE"/>
    <w:rsid w:val="009120AD"/>
    <w:rsid w:val="00915C95"/>
    <w:rsid w:val="00915D47"/>
    <w:rsid w:val="0092020C"/>
    <w:rsid w:val="00921901"/>
    <w:rsid w:val="0092474B"/>
    <w:rsid w:val="00925A46"/>
    <w:rsid w:val="00926373"/>
    <w:rsid w:val="00927EF8"/>
    <w:rsid w:val="00930BEC"/>
    <w:rsid w:val="00932306"/>
    <w:rsid w:val="0093268F"/>
    <w:rsid w:val="00933194"/>
    <w:rsid w:val="00935B45"/>
    <w:rsid w:val="0093660D"/>
    <w:rsid w:val="00942B28"/>
    <w:rsid w:val="0094374D"/>
    <w:rsid w:val="00945C09"/>
    <w:rsid w:val="009461FF"/>
    <w:rsid w:val="00951B6A"/>
    <w:rsid w:val="00952378"/>
    <w:rsid w:val="009531F6"/>
    <w:rsid w:val="00954904"/>
    <w:rsid w:val="00954CA3"/>
    <w:rsid w:val="0095514B"/>
    <w:rsid w:val="00955154"/>
    <w:rsid w:val="009563F8"/>
    <w:rsid w:val="00957559"/>
    <w:rsid w:val="009610B1"/>
    <w:rsid w:val="00961E7C"/>
    <w:rsid w:val="00963CE2"/>
    <w:rsid w:val="00964F11"/>
    <w:rsid w:val="009655EB"/>
    <w:rsid w:val="009679B0"/>
    <w:rsid w:val="00970479"/>
    <w:rsid w:val="009708F1"/>
    <w:rsid w:val="00974272"/>
    <w:rsid w:val="009807C9"/>
    <w:rsid w:val="00981475"/>
    <w:rsid w:val="00983ACD"/>
    <w:rsid w:val="00983E33"/>
    <w:rsid w:val="00985BC5"/>
    <w:rsid w:val="009869C3"/>
    <w:rsid w:val="00992B22"/>
    <w:rsid w:val="00992B87"/>
    <w:rsid w:val="009938D9"/>
    <w:rsid w:val="009A0E18"/>
    <w:rsid w:val="009A1651"/>
    <w:rsid w:val="009A2E34"/>
    <w:rsid w:val="009A5712"/>
    <w:rsid w:val="009B0A21"/>
    <w:rsid w:val="009B23D1"/>
    <w:rsid w:val="009B2A20"/>
    <w:rsid w:val="009B393D"/>
    <w:rsid w:val="009B4BD0"/>
    <w:rsid w:val="009B4EFB"/>
    <w:rsid w:val="009C159A"/>
    <w:rsid w:val="009C3EB6"/>
    <w:rsid w:val="009C40CC"/>
    <w:rsid w:val="009C454B"/>
    <w:rsid w:val="009C6C3F"/>
    <w:rsid w:val="009D2AEC"/>
    <w:rsid w:val="009D4D67"/>
    <w:rsid w:val="009D5041"/>
    <w:rsid w:val="009E1150"/>
    <w:rsid w:val="009E1301"/>
    <w:rsid w:val="009E1381"/>
    <w:rsid w:val="009E1FE9"/>
    <w:rsid w:val="009E35E0"/>
    <w:rsid w:val="009E6447"/>
    <w:rsid w:val="009E645E"/>
    <w:rsid w:val="009F0A5D"/>
    <w:rsid w:val="009F1009"/>
    <w:rsid w:val="009F1310"/>
    <w:rsid w:val="009F17EC"/>
    <w:rsid w:val="009F5DC3"/>
    <w:rsid w:val="00A000CD"/>
    <w:rsid w:val="00A006D5"/>
    <w:rsid w:val="00A037DF"/>
    <w:rsid w:val="00A05896"/>
    <w:rsid w:val="00A0591A"/>
    <w:rsid w:val="00A0684A"/>
    <w:rsid w:val="00A06E38"/>
    <w:rsid w:val="00A078DF"/>
    <w:rsid w:val="00A07EB0"/>
    <w:rsid w:val="00A12830"/>
    <w:rsid w:val="00A13252"/>
    <w:rsid w:val="00A13D2C"/>
    <w:rsid w:val="00A14B65"/>
    <w:rsid w:val="00A14B81"/>
    <w:rsid w:val="00A14F1D"/>
    <w:rsid w:val="00A1508A"/>
    <w:rsid w:val="00A15589"/>
    <w:rsid w:val="00A15A9A"/>
    <w:rsid w:val="00A162B3"/>
    <w:rsid w:val="00A20A91"/>
    <w:rsid w:val="00A21E0B"/>
    <w:rsid w:val="00A25649"/>
    <w:rsid w:val="00A2727C"/>
    <w:rsid w:val="00A327C0"/>
    <w:rsid w:val="00A36385"/>
    <w:rsid w:val="00A41B7D"/>
    <w:rsid w:val="00A444B0"/>
    <w:rsid w:val="00A47389"/>
    <w:rsid w:val="00A5177E"/>
    <w:rsid w:val="00A5235B"/>
    <w:rsid w:val="00A563C5"/>
    <w:rsid w:val="00A60D30"/>
    <w:rsid w:val="00A62EC4"/>
    <w:rsid w:val="00A63E47"/>
    <w:rsid w:val="00A64B74"/>
    <w:rsid w:val="00A64C01"/>
    <w:rsid w:val="00A65908"/>
    <w:rsid w:val="00A66307"/>
    <w:rsid w:val="00A66836"/>
    <w:rsid w:val="00A6722F"/>
    <w:rsid w:val="00A72220"/>
    <w:rsid w:val="00A728BC"/>
    <w:rsid w:val="00A75F27"/>
    <w:rsid w:val="00A80190"/>
    <w:rsid w:val="00A834E0"/>
    <w:rsid w:val="00A84CCD"/>
    <w:rsid w:val="00A85FBF"/>
    <w:rsid w:val="00A9246B"/>
    <w:rsid w:val="00A942E9"/>
    <w:rsid w:val="00A96722"/>
    <w:rsid w:val="00AA3BDA"/>
    <w:rsid w:val="00AA4C6F"/>
    <w:rsid w:val="00AA5838"/>
    <w:rsid w:val="00AA683E"/>
    <w:rsid w:val="00AA736B"/>
    <w:rsid w:val="00AA7640"/>
    <w:rsid w:val="00AA767A"/>
    <w:rsid w:val="00AA7EBD"/>
    <w:rsid w:val="00AB051B"/>
    <w:rsid w:val="00AB0824"/>
    <w:rsid w:val="00AB1F2A"/>
    <w:rsid w:val="00AB2C90"/>
    <w:rsid w:val="00AB59AC"/>
    <w:rsid w:val="00AB5D6D"/>
    <w:rsid w:val="00AC28A0"/>
    <w:rsid w:val="00AC4F0A"/>
    <w:rsid w:val="00AC5578"/>
    <w:rsid w:val="00AC6FD9"/>
    <w:rsid w:val="00AC7A9D"/>
    <w:rsid w:val="00AD2083"/>
    <w:rsid w:val="00AD2153"/>
    <w:rsid w:val="00AD2CA1"/>
    <w:rsid w:val="00AD371D"/>
    <w:rsid w:val="00AD404A"/>
    <w:rsid w:val="00AD40DA"/>
    <w:rsid w:val="00AE0176"/>
    <w:rsid w:val="00AE504F"/>
    <w:rsid w:val="00AF176C"/>
    <w:rsid w:val="00AF1FC2"/>
    <w:rsid w:val="00AF4C2F"/>
    <w:rsid w:val="00B00D0A"/>
    <w:rsid w:val="00B01097"/>
    <w:rsid w:val="00B07199"/>
    <w:rsid w:val="00B07BB3"/>
    <w:rsid w:val="00B07DD1"/>
    <w:rsid w:val="00B152DB"/>
    <w:rsid w:val="00B15D38"/>
    <w:rsid w:val="00B168B9"/>
    <w:rsid w:val="00B17DA2"/>
    <w:rsid w:val="00B20047"/>
    <w:rsid w:val="00B202BC"/>
    <w:rsid w:val="00B22BC7"/>
    <w:rsid w:val="00B32A83"/>
    <w:rsid w:val="00B32CFA"/>
    <w:rsid w:val="00B33EB3"/>
    <w:rsid w:val="00B34A5E"/>
    <w:rsid w:val="00B40644"/>
    <w:rsid w:val="00B40DE6"/>
    <w:rsid w:val="00B412E2"/>
    <w:rsid w:val="00B43E3E"/>
    <w:rsid w:val="00B456F9"/>
    <w:rsid w:val="00B47212"/>
    <w:rsid w:val="00B547BC"/>
    <w:rsid w:val="00B55DE1"/>
    <w:rsid w:val="00B56B2E"/>
    <w:rsid w:val="00B6080D"/>
    <w:rsid w:val="00B65CEF"/>
    <w:rsid w:val="00B706D5"/>
    <w:rsid w:val="00B73099"/>
    <w:rsid w:val="00B74C0D"/>
    <w:rsid w:val="00B7647E"/>
    <w:rsid w:val="00B83246"/>
    <w:rsid w:val="00B851CF"/>
    <w:rsid w:val="00B8609D"/>
    <w:rsid w:val="00B92026"/>
    <w:rsid w:val="00B92F0C"/>
    <w:rsid w:val="00B95BED"/>
    <w:rsid w:val="00BA0050"/>
    <w:rsid w:val="00BA26CA"/>
    <w:rsid w:val="00BA280A"/>
    <w:rsid w:val="00BA2A1C"/>
    <w:rsid w:val="00BA392A"/>
    <w:rsid w:val="00BA3AB3"/>
    <w:rsid w:val="00BA4E2E"/>
    <w:rsid w:val="00BA5CCA"/>
    <w:rsid w:val="00BB06CA"/>
    <w:rsid w:val="00BB0E13"/>
    <w:rsid w:val="00BB11A9"/>
    <w:rsid w:val="00BB6681"/>
    <w:rsid w:val="00BC0270"/>
    <w:rsid w:val="00BC02F7"/>
    <w:rsid w:val="00BC115B"/>
    <w:rsid w:val="00BC28CC"/>
    <w:rsid w:val="00BC3206"/>
    <w:rsid w:val="00BC6517"/>
    <w:rsid w:val="00BC7C01"/>
    <w:rsid w:val="00BD0477"/>
    <w:rsid w:val="00BD2102"/>
    <w:rsid w:val="00BD34B2"/>
    <w:rsid w:val="00BD46A3"/>
    <w:rsid w:val="00BD4A35"/>
    <w:rsid w:val="00BE0201"/>
    <w:rsid w:val="00BE10D1"/>
    <w:rsid w:val="00BE31AC"/>
    <w:rsid w:val="00BE3B0B"/>
    <w:rsid w:val="00BE4C67"/>
    <w:rsid w:val="00BE4DC7"/>
    <w:rsid w:val="00BE723F"/>
    <w:rsid w:val="00BF54D0"/>
    <w:rsid w:val="00C00E2B"/>
    <w:rsid w:val="00C0182E"/>
    <w:rsid w:val="00C0266A"/>
    <w:rsid w:val="00C02F1C"/>
    <w:rsid w:val="00C05043"/>
    <w:rsid w:val="00C10D10"/>
    <w:rsid w:val="00C119A3"/>
    <w:rsid w:val="00C12657"/>
    <w:rsid w:val="00C1497F"/>
    <w:rsid w:val="00C15CE0"/>
    <w:rsid w:val="00C169C1"/>
    <w:rsid w:val="00C17438"/>
    <w:rsid w:val="00C17934"/>
    <w:rsid w:val="00C211EA"/>
    <w:rsid w:val="00C21A42"/>
    <w:rsid w:val="00C231AF"/>
    <w:rsid w:val="00C26620"/>
    <w:rsid w:val="00C2783A"/>
    <w:rsid w:val="00C30781"/>
    <w:rsid w:val="00C332D5"/>
    <w:rsid w:val="00C33604"/>
    <w:rsid w:val="00C347CC"/>
    <w:rsid w:val="00C349EC"/>
    <w:rsid w:val="00C369E6"/>
    <w:rsid w:val="00C41211"/>
    <w:rsid w:val="00C4283A"/>
    <w:rsid w:val="00C504CA"/>
    <w:rsid w:val="00C51FCB"/>
    <w:rsid w:val="00C53979"/>
    <w:rsid w:val="00C53DEF"/>
    <w:rsid w:val="00C6288C"/>
    <w:rsid w:val="00C62A6E"/>
    <w:rsid w:val="00C649E4"/>
    <w:rsid w:val="00C664B2"/>
    <w:rsid w:val="00C664BC"/>
    <w:rsid w:val="00C70A5F"/>
    <w:rsid w:val="00C72A06"/>
    <w:rsid w:val="00C74297"/>
    <w:rsid w:val="00C75488"/>
    <w:rsid w:val="00C77BC2"/>
    <w:rsid w:val="00C83AFB"/>
    <w:rsid w:val="00C947C2"/>
    <w:rsid w:val="00CA1E86"/>
    <w:rsid w:val="00CA5229"/>
    <w:rsid w:val="00CB0B5D"/>
    <w:rsid w:val="00CB4012"/>
    <w:rsid w:val="00CB4670"/>
    <w:rsid w:val="00CB5DEE"/>
    <w:rsid w:val="00CB5F77"/>
    <w:rsid w:val="00CB64D0"/>
    <w:rsid w:val="00CC1CBD"/>
    <w:rsid w:val="00CC66DD"/>
    <w:rsid w:val="00CC69A9"/>
    <w:rsid w:val="00CD15A0"/>
    <w:rsid w:val="00CD1EFC"/>
    <w:rsid w:val="00CD2004"/>
    <w:rsid w:val="00CD4348"/>
    <w:rsid w:val="00CD6043"/>
    <w:rsid w:val="00CD743A"/>
    <w:rsid w:val="00CD7891"/>
    <w:rsid w:val="00CD7FCE"/>
    <w:rsid w:val="00CE056F"/>
    <w:rsid w:val="00CE2B87"/>
    <w:rsid w:val="00CE2CCC"/>
    <w:rsid w:val="00CE3C39"/>
    <w:rsid w:val="00CE7644"/>
    <w:rsid w:val="00CF2CB9"/>
    <w:rsid w:val="00CF3799"/>
    <w:rsid w:val="00CF4DA7"/>
    <w:rsid w:val="00CF62C9"/>
    <w:rsid w:val="00CF6AD9"/>
    <w:rsid w:val="00CF740B"/>
    <w:rsid w:val="00D00E24"/>
    <w:rsid w:val="00D01AE7"/>
    <w:rsid w:val="00D04EA8"/>
    <w:rsid w:val="00D06442"/>
    <w:rsid w:val="00D1036A"/>
    <w:rsid w:val="00D10C2D"/>
    <w:rsid w:val="00D11A77"/>
    <w:rsid w:val="00D15761"/>
    <w:rsid w:val="00D201CA"/>
    <w:rsid w:val="00D2468A"/>
    <w:rsid w:val="00D2790C"/>
    <w:rsid w:val="00D30F1E"/>
    <w:rsid w:val="00D32583"/>
    <w:rsid w:val="00D33906"/>
    <w:rsid w:val="00D33C84"/>
    <w:rsid w:val="00D346E0"/>
    <w:rsid w:val="00D37F3A"/>
    <w:rsid w:val="00D412B4"/>
    <w:rsid w:val="00D521D0"/>
    <w:rsid w:val="00D52DBD"/>
    <w:rsid w:val="00D5544E"/>
    <w:rsid w:val="00D6128E"/>
    <w:rsid w:val="00D62331"/>
    <w:rsid w:val="00D66B30"/>
    <w:rsid w:val="00D71FB0"/>
    <w:rsid w:val="00D737CE"/>
    <w:rsid w:val="00D73B4B"/>
    <w:rsid w:val="00D8286D"/>
    <w:rsid w:val="00D829A4"/>
    <w:rsid w:val="00D84E27"/>
    <w:rsid w:val="00D86384"/>
    <w:rsid w:val="00D86D13"/>
    <w:rsid w:val="00D90CD2"/>
    <w:rsid w:val="00D91737"/>
    <w:rsid w:val="00D96B37"/>
    <w:rsid w:val="00DA0F3C"/>
    <w:rsid w:val="00DA1B3A"/>
    <w:rsid w:val="00DA319F"/>
    <w:rsid w:val="00DA32A1"/>
    <w:rsid w:val="00DA5120"/>
    <w:rsid w:val="00DA5459"/>
    <w:rsid w:val="00DA5593"/>
    <w:rsid w:val="00DA6AF7"/>
    <w:rsid w:val="00DA7738"/>
    <w:rsid w:val="00DB08FA"/>
    <w:rsid w:val="00DB0983"/>
    <w:rsid w:val="00DB3CB2"/>
    <w:rsid w:val="00DB7116"/>
    <w:rsid w:val="00DC04C8"/>
    <w:rsid w:val="00DC188D"/>
    <w:rsid w:val="00DC300C"/>
    <w:rsid w:val="00DC4568"/>
    <w:rsid w:val="00DC59A7"/>
    <w:rsid w:val="00DC5A4F"/>
    <w:rsid w:val="00DC65FA"/>
    <w:rsid w:val="00DC7643"/>
    <w:rsid w:val="00DC769B"/>
    <w:rsid w:val="00DC76BB"/>
    <w:rsid w:val="00DD0507"/>
    <w:rsid w:val="00DD0A5D"/>
    <w:rsid w:val="00DD1FCD"/>
    <w:rsid w:val="00DD56D2"/>
    <w:rsid w:val="00DD5BA2"/>
    <w:rsid w:val="00DD5EE4"/>
    <w:rsid w:val="00DD664D"/>
    <w:rsid w:val="00DD744F"/>
    <w:rsid w:val="00DE24B7"/>
    <w:rsid w:val="00DE290A"/>
    <w:rsid w:val="00DE3A8A"/>
    <w:rsid w:val="00DE49AB"/>
    <w:rsid w:val="00DE4A48"/>
    <w:rsid w:val="00DE561B"/>
    <w:rsid w:val="00DE5B8E"/>
    <w:rsid w:val="00DE678A"/>
    <w:rsid w:val="00DE7072"/>
    <w:rsid w:val="00DF040B"/>
    <w:rsid w:val="00DF2B32"/>
    <w:rsid w:val="00DF52E1"/>
    <w:rsid w:val="00DF6443"/>
    <w:rsid w:val="00DF6F0C"/>
    <w:rsid w:val="00E025B7"/>
    <w:rsid w:val="00E03003"/>
    <w:rsid w:val="00E03D71"/>
    <w:rsid w:val="00E11355"/>
    <w:rsid w:val="00E128A4"/>
    <w:rsid w:val="00E1299D"/>
    <w:rsid w:val="00E12C17"/>
    <w:rsid w:val="00E13622"/>
    <w:rsid w:val="00E165D7"/>
    <w:rsid w:val="00E16F14"/>
    <w:rsid w:val="00E17FE7"/>
    <w:rsid w:val="00E201C7"/>
    <w:rsid w:val="00E21D85"/>
    <w:rsid w:val="00E22B45"/>
    <w:rsid w:val="00E22BAB"/>
    <w:rsid w:val="00E2389F"/>
    <w:rsid w:val="00E2525E"/>
    <w:rsid w:val="00E258AC"/>
    <w:rsid w:val="00E305A5"/>
    <w:rsid w:val="00E319BB"/>
    <w:rsid w:val="00E412FF"/>
    <w:rsid w:val="00E42504"/>
    <w:rsid w:val="00E438F3"/>
    <w:rsid w:val="00E476AB"/>
    <w:rsid w:val="00E50B6A"/>
    <w:rsid w:val="00E512E9"/>
    <w:rsid w:val="00E52A9F"/>
    <w:rsid w:val="00E53599"/>
    <w:rsid w:val="00E54747"/>
    <w:rsid w:val="00E549BE"/>
    <w:rsid w:val="00E56E69"/>
    <w:rsid w:val="00E57043"/>
    <w:rsid w:val="00E576FF"/>
    <w:rsid w:val="00E6000C"/>
    <w:rsid w:val="00E60D61"/>
    <w:rsid w:val="00E6322C"/>
    <w:rsid w:val="00E639F2"/>
    <w:rsid w:val="00E73214"/>
    <w:rsid w:val="00E764D9"/>
    <w:rsid w:val="00E771B0"/>
    <w:rsid w:val="00E77D07"/>
    <w:rsid w:val="00E81B9F"/>
    <w:rsid w:val="00E8321F"/>
    <w:rsid w:val="00E832C5"/>
    <w:rsid w:val="00E9196A"/>
    <w:rsid w:val="00E9298D"/>
    <w:rsid w:val="00E97E81"/>
    <w:rsid w:val="00EA16F3"/>
    <w:rsid w:val="00EA19BF"/>
    <w:rsid w:val="00EA25B3"/>
    <w:rsid w:val="00EA37ED"/>
    <w:rsid w:val="00EA3EE8"/>
    <w:rsid w:val="00EA5B7A"/>
    <w:rsid w:val="00EB00DE"/>
    <w:rsid w:val="00EB2AF8"/>
    <w:rsid w:val="00EB2E95"/>
    <w:rsid w:val="00EB31A2"/>
    <w:rsid w:val="00EB6AFB"/>
    <w:rsid w:val="00EB7880"/>
    <w:rsid w:val="00EC0733"/>
    <w:rsid w:val="00EC12B5"/>
    <w:rsid w:val="00EC3691"/>
    <w:rsid w:val="00EC7912"/>
    <w:rsid w:val="00ED04C8"/>
    <w:rsid w:val="00ED0DC5"/>
    <w:rsid w:val="00ED14A9"/>
    <w:rsid w:val="00ED3041"/>
    <w:rsid w:val="00ED3A22"/>
    <w:rsid w:val="00ED656F"/>
    <w:rsid w:val="00ED70A3"/>
    <w:rsid w:val="00EE08A6"/>
    <w:rsid w:val="00EE2CDF"/>
    <w:rsid w:val="00EE3B8F"/>
    <w:rsid w:val="00EE5E36"/>
    <w:rsid w:val="00EE5F89"/>
    <w:rsid w:val="00EE6491"/>
    <w:rsid w:val="00EE6A01"/>
    <w:rsid w:val="00EF1A01"/>
    <w:rsid w:val="00EF236A"/>
    <w:rsid w:val="00EF353E"/>
    <w:rsid w:val="00EF5AED"/>
    <w:rsid w:val="00EF63A2"/>
    <w:rsid w:val="00EF69C4"/>
    <w:rsid w:val="00EF7F31"/>
    <w:rsid w:val="00F00097"/>
    <w:rsid w:val="00F0025D"/>
    <w:rsid w:val="00F01A2E"/>
    <w:rsid w:val="00F0316D"/>
    <w:rsid w:val="00F04BAE"/>
    <w:rsid w:val="00F06B35"/>
    <w:rsid w:val="00F0718A"/>
    <w:rsid w:val="00F07DD0"/>
    <w:rsid w:val="00F1749E"/>
    <w:rsid w:val="00F23A26"/>
    <w:rsid w:val="00F26C5B"/>
    <w:rsid w:val="00F35DB3"/>
    <w:rsid w:val="00F36634"/>
    <w:rsid w:val="00F368A5"/>
    <w:rsid w:val="00F37F0F"/>
    <w:rsid w:val="00F37F6F"/>
    <w:rsid w:val="00F40110"/>
    <w:rsid w:val="00F43A9F"/>
    <w:rsid w:val="00F4423E"/>
    <w:rsid w:val="00F449DF"/>
    <w:rsid w:val="00F460B5"/>
    <w:rsid w:val="00F521F7"/>
    <w:rsid w:val="00F5474E"/>
    <w:rsid w:val="00F56CF2"/>
    <w:rsid w:val="00F56E28"/>
    <w:rsid w:val="00F57741"/>
    <w:rsid w:val="00F608FA"/>
    <w:rsid w:val="00F60F4A"/>
    <w:rsid w:val="00F63AF1"/>
    <w:rsid w:val="00F649D2"/>
    <w:rsid w:val="00F667DD"/>
    <w:rsid w:val="00F70285"/>
    <w:rsid w:val="00F70FD3"/>
    <w:rsid w:val="00F7357B"/>
    <w:rsid w:val="00F73BB4"/>
    <w:rsid w:val="00F74A6B"/>
    <w:rsid w:val="00F74C61"/>
    <w:rsid w:val="00F75F15"/>
    <w:rsid w:val="00F77CDF"/>
    <w:rsid w:val="00F81488"/>
    <w:rsid w:val="00F81FE0"/>
    <w:rsid w:val="00F83CE2"/>
    <w:rsid w:val="00F84A36"/>
    <w:rsid w:val="00F87C00"/>
    <w:rsid w:val="00F94A2F"/>
    <w:rsid w:val="00F95FCB"/>
    <w:rsid w:val="00F97047"/>
    <w:rsid w:val="00F97B5A"/>
    <w:rsid w:val="00F97BA2"/>
    <w:rsid w:val="00FA0755"/>
    <w:rsid w:val="00FA18CA"/>
    <w:rsid w:val="00FA281C"/>
    <w:rsid w:val="00FA7AB3"/>
    <w:rsid w:val="00FB16E5"/>
    <w:rsid w:val="00FB2A89"/>
    <w:rsid w:val="00FB3192"/>
    <w:rsid w:val="00FB36F6"/>
    <w:rsid w:val="00FB3FFC"/>
    <w:rsid w:val="00FB5151"/>
    <w:rsid w:val="00FB7009"/>
    <w:rsid w:val="00FB7CF9"/>
    <w:rsid w:val="00FC2E09"/>
    <w:rsid w:val="00FC3A51"/>
    <w:rsid w:val="00FC45F7"/>
    <w:rsid w:val="00FC5E31"/>
    <w:rsid w:val="00FC69F0"/>
    <w:rsid w:val="00FC6D8D"/>
    <w:rsid w:val="00FD1C6F"/>
    <w:rsid w:val="00FD2E06"/>
    <w:rsid w:val="00FD7E61"/>
    <w:rsid w:val="00FE096F"/>
    <w:rsid w:val="00FE1B7C"/>
    <w:rsid w:val="00FE4101"/>
    <w:rsid w:val="00FE5383"/>
    <w:rsid w:val="00FE7166"/>
    <w:rsid w:val="00FF09F7"/>
    <w:rsid w:val="00FF2CB8"/>
    <w:rsid w:val="00FF3FF8"/>
    <w:rsid w:val="00FF4937"/>
    <w:rsid w:val="00FF56F8"/>
    <w:rsid w:val="00FF780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2533">
      <o:colormru v:ext="edit" colors="#06c,#52c5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1650"/>
    <w:rPr>
      <w:sz w:val="24"/>
      <w:szCs w:val="24"/>
    </w:rPr>
  </w:style>
  <w:style w:type="paragraph" w:styleId="Ttulo1">
    <w:name w:val="heading 1"/>
    <w:basedOn w:val="Normal"/>
    <w:next w:val="Normal"/>
    <w:qFormat/>
    <w:rsid w:val="00001650"/>
    <w:pPr>
      <w:keepNext/>
      <w:spacing w:before="1000" w:after="200"/>
      <w:outlineLvl w:val="0"/>
    </w:pPr>
    <w:rPr>
      <w:rFonts w:ascii="Tahoma" w:hAnsi="Tahoma" w:cs="Tahoma"/>
      <w:b/>
      <w:bCs/>
      <w:sz w:val="26"/>
    </w:rPr>
  </w:style>
  <w:style w:type="paragraph" w:styleId="Ttulo2">
    <w:name w:val="heading 2"/>
    <w:basedOn w:val="Normal"/>
    <w:next w:val="Normal"/>
    <w:qFormat/>
    <w:rsid w:val="00001650"/>
    <w:pPr>
      <w:keepNext/>
      <w:numPr>
        <w:numId w:val="3"/>
      </w:numPr>
      <w:spacing w:before="600" w:after="200"/>
      <w:outlineLvl w:val="1"/>
    </w:pPr>
    <w:rPr>
      <w:rFonts w:ascii="Tahoma" w:hAnsi="Tahoma" w:cs="Tahoma"/>
      <w:b/>
      <w:bCs/>
      <w:sz w:val="22"/>
    </w:rPr>
  </w:style>
  <w:style w:type="paragraph" w:styleId="Ttulo3">
    <w:name w:val="heading 3"/>
    <w:basedOn w:val="Normal"/>
    <w:next w:val="Normal"/>
    <w:qFormat/>
    <w:rsid w:val="00001650"/>
    <w:pPr>
      <w:keepNext/>
      <w:numPr>
        <w:ilvl w:val="2"/>
        <w:numId w:val="1"/>
      </w:numPr>
      <w:spacing w:before="600" w:after="280"/>
      <w:outlineLvl w:val="2"/>
    </w:pPr>
    <w:rPr>
      <w:rFonts w:ascii="Tahoma" w:hAnsi="Tahoma" w:cs="Arial"/>
      <w:b/>
      <w:bCs/>
      <w:sz w:val="22"/>
      <w:szCs w:val="26"/>
    </w:rPr>
  </w:style>
  <w:style w:type="paragraph" w:styleId="Ttulo4">
    <w:name w:val="heading 4"/>
    <w:basedOn w:val="Normal"/>
    <w:next w:val="Normal"/>
    <w:qFormat/>
    <w:rsid w:val="005D0E41"/>
    <w:pPr>
      <w:keepNext/>
      <w:numPr>
        <w:ilvl w:val="3"/>
        <w:numId w:val="1"/>
      </w:numPr>
      <w:spacing w:before="240" w:after="60"/>
      <w:outlineLvl w:val="3"/>
    </w:pPr>
    <w:rPr>
      <w:b/>
      <w:bCs/>
      <w:sz w:val="28"/>
      <w:szCs w:val="28"/>
    </w:rPr>
  </w:style>
  <w:style w:type="paragraph" w:styleId="Ttulo5">
    <w:name w:val="heading 5"/>
    <w:basedOn w:val="Normal"/>
    <w:next w:val="Normal"/>
    <w:qFormat/>
    <w:rsid w:val="005D0E41"/>
    <w:pPr>
      <w:numPr>
        <w:ilvl w:val="4"/>
        <w:numId w:val="1"/>
      </w:numPr>
      <w:spacing w:before="240" w:after="60"/>
      <w:outlineLvl w:val="4"/>
    </w:pPr>
    <w:rPr>
      <w:b/>
      <w:bCs/>
      <w:i/>
      <w:iCs/>
      <w:sz w:val="26"/>
      <w:szCs w:val="26"/>
    </w:rPr>
  </w:style>
  <w:style w:type="paragraph" w:styleId="Ttulo6">
    <w:name w:val="heading 6"/>
    <w:basedOn w:val="Normal"/>
    <w:next w:val="Normal"/>
    <w:qFormat/>
    <w:rsid w:val="005D0E41"/>
    <w:pPr>
      <w:numPr>
        <w:ilvl w:val="5"/>
        <w:numId w:val="1"/>
      </w:numPr>
      <w:spacing w:before="240" w:after="60"/>
      <w:outlineLvl w:val="5"/>
    </w:pPr>
    <w:rPr>
      <w:b/>
      <w:bCs/>
      <w:sz w:val="22"/>
      <w:szCs w:val="22"/>
    </w:rPr>
  </w:style>
  <w:style w:type="paragraph" w:styleId="Ttulo7">
    <w:name w:val="heading 7"/>
    <w:basedOn w:val="Normal"/>
    <w:next w:val="Normal"/>
    <w:qFormat/>
    <w:rsid w:val="005D0E41"/>
    <w:pPr>
      <w:numPr>
        <w:ilvl w:val="6"/>
        <w:numId w:val="1"/>
      </w:numPr>
      <w:spacing w:before="240" w:after="60"/>
      <w:outlineLvl w:val="6"/>
    </w:pPr>
  </w:style>
  <w:style w:type="paragraph" w:styleId="Ttulo8">
    <w:name w:val="heading 8"/>
    <w:basedOn w:val="Normal"/>
    <w:next w:val="Normal"/>
    <w:qFormat/>
    <w:rsid w:val="005D0E41"/>
    <w:pPr>
      <w:numPr>
        <w:ilvl w:val="7"/>
        <w:numId w:val="1"/>
      </w:numPr>
      <w:spacing w:before="240" w:after="60"/>
      <w:outlineLvl w:val="7"/>
    </w:pPr>
    <w:rPr>
      <w:i/>
      <w:iCs/>
    </w:rPr>
  </w:style>
  <w:style w:type="paragraph" w:styleId="Ttulo9">
    <w:name w:val="heading 9"/>
    <w:basedOn w:val="Normal"/>
    <w:next w:val="Normal"/>
    <w:qFormat/>
    <w:rsid w:val="005D0E41"/>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001650"/>
    <w:pPr>
      <w:tabs>
        <w:tab w:val="center" w:pos="4419"/>
        <w:tab w:val="right" w:pos="8838"/>
      </w:tabs>
    </w:pPr>
    <w:rPr>
      <w:rFonts w:ascii="Tahoma" w:hAnsi="Tahoma"/>
      <w:b/>
      <w:color w:val="FFFFFF"/>
      <w:sz w:val="18"/>
    </w:rPr>
  </w:style>
  <w:style w:type="paragraph" w:styleId="Rodap">
    <w:name w:val="footer"/>
    <w:basedOn w:val="Normal"/>
    <w:link w:val="RodapChar"/>
    <w:rsid w:val="00001650"/>
    <w:pPr>
      <w:tabs>
        <w:tab w:val="center" w:pos="4419"/>
        <w:tab w:val="right" w:pos="8838"/>
      </w:tabs>
    </w:pPr>
  </w:style>
  <w:style w:type="paragraph" w:customStyle="1" w:styleId="Fonte">
    <w:name w:val="Fonte"/>
    <w:basedOn w:val="Normal"/>
    <w:rsid w:val="00001650"/>
    <w:pPr>
      <w:spacing w:after="160"/>
      <w:ind w:left="284"/>
    </w:pPr>
    <w:rPr>
      <w:rFonts w:ascii="Tahoma" w:hAnsi="Tahoma"/>
      <w:sz w:val="16"/>
    </w:rPr>
  </w:style>
  <w:style w:type="character" w:styleId="Refdenotaderodap">
    <w:name w:val="footnote reference"/>
    <w:basedOn w:val="Fontepargpadro"/>
    <w:semiHidden/>
    <w:rsid w:val="00001650"/>
    <w:rPr>
      <w:vertAlign w:val="superscript"/>
    </w:rPr>
  </w:style>
  <w:style w:type="paragraph" w:customStyle="1" w:styleId="CorpodoTexto">
    <w:name w:val="Corpo do Texto"/>
    <w:basedOn w:val="Normal"/>
    <w:link w:val="CorpodoTextoChar"/>
    <w:rsid w:val="00001650"/>
    <w:pPr>
      <w:widowControl w:val="0"/>
      <w:spacing w:before="240" w:after="240" w:line="360" w:lineRule="exact"/>
      <w:ind w:left="284"/>
      <w:jc w:val="both"/>
    </w:pPr>
    <w:rPr>
      <w:rFonts w:ascii="Tahoma" w:hAnsi="Tahoma" w:cs="Tahoma"/>
      <w:sz w:val="22"/>
    </w:rPr>
  </w:style>
  <w:style w:type="character" w:customStyle="1" w:styleId="CorpodoTextoChar">
    <w:name w:val="Corpo do Texto Char"/>
    <w:basedOn w:val="Fontepargpadro"/>
    <w:link w:val="CorpodoTexto"/>
    <w:rsid w:val="00A13252"/>
    <w:rPr>
      <w:rFonts w:ascii="Tahoma" w:hAnsi="Tahoma" w:cs="Tahoma"/>
      <w:sz w:val="22"/>
      <w:szCs w:val="24"/>
      <w:lang w:val="pt-BR" w:eastAsia="pt-BR" w:bidi="ar-SA"/>
    </w:rPr>
  </w:style>
  <w:style w:type="paragraph" w:customStyle="1" w:styleId="Titulo-TabeGraf">
    <w:name w:val="Titulo-Tab e Graf"/>
    <w:basedOn w:val="Normal"/>
    <w:rsid w:val="00001650"/>
    <w:pPr>
      <w:spacing w:before="400" w:after="100"/>
      <w:ind w:left="284"/>
    </w:pPr>
    <w:rPr>
      <w:rFonts w:ascii="Tahoma" w:hAnsi="Tahoma" w:cs="Tahoma"/>
      <w:b/>
      <w:sz w:val="18"/>
    </w:rPr>
  </w:style>
  <w:style w:type="paragraph" w:customStyle="1" w:styleId="Noparagraphstyle">
    <w:name w:val="[No paragraph style]"/>
    <w:rsid w:val="00001650"/>
    <w:pPr>
      <w:autoSpaceDE w:val="0"/>
      <w:autoSpaceDN w:val="0"/>
      <w:adjustRightInd w:val="0"/>
      <w:spacing w:line="288" w:lineRule="auto"/>
      <w:textAlignment w:val="center"/>
    </w:pPr>
    <w:rPr>
      <w:color w:val="000000"/>
      <w:sz w:val="24"/>
      <w:szCs w:val="24"/>
    </w:rPr>
  </w:style>
  <w:style w:type="paragraph" w:customStyle="1" w:styleId="NotadeRodape">
    <w:name w:val="Nota de Rodape"/>
    <w:basedOn w:val="Normal"/>
    <w:rsid w:val="00001650"/>
    <w:rPr>
      <w:sz w:val="18"/>
      <w:szCs w:val="20"/>
    </w:rPr>
  </w:style>
  <w:style w:type="paragraph" w:customStyle="1" w:styleId="EstiloTtulo1">
    <w:name w:val="Estilo Título 1 +"/>
    <w:basedOn w:val="Normal"/>
    <w:rsid w:val="005D0E41"/>
    <w:pPr>
      <w:numPr>
        <w:numId w:val="1"/>
      </w:numPr>
    </w:pPr>
  </w:style>
  <w:style w:type="character" w:styleId="Nmerodepgina">
    <w:name w:val="page number"/>
    <w:basedOn w:val="Fontepargpadro"/>
    <w:rsid w:val="00985BC5"/>
  </w:style>
  <w:style w:type="paragraph" w:customStyle="1" w:styleId="itembullet">
    <w:name w:val="item bullet"/>
    <w:basedOn w:val="Normal"/>
    <w:autoRedefine/>
    <w:rsid w:val="00C649E4"/>
    <w:pPr>
      <w:numPr>
        <w:numId w:val="2"/>
      </w:numPr>
      <w:spacing w:after="120"/>
      <w:jc w:val="both"/>
    </w:pPr>
    <w:rPr>
      <w:szCs w:val="20"/>
    </w:rPr>
  </w:style>
  <w:style w:type="paragraph" w:styleId="Sumrio2">
    <w:name w:val="toc 2"/>
    <w:basedOn w:val="Normal"/>
    <w:next w:val="Normal"/>
    <w:autoRedefine/>
    <w:rsid w:val="00E81B9F"/>
    <w:pPr>
      <w:spacing w:before="120"/>
      <w:ind w:left="240"/>
    </w:pPr>
    <w:rPr>
      <w:b/>
      <w:bCs/>
      <w:sz w:val="22"/>
      <w:szCs w:val="22"/>
    </w:rPr>
  </w:style>
  <w:style w:type="paragraph" w:styleId="Sumrio1">
    <w:name w:val="toc 1"/>
    <w:basedOn w:val="Normal"/>
    <w:next w:val="Normal"/>
    <w:autoRedefine/>
    <w:uiPriority w:val="39"/>
    <w:rsid w:val="004A15D8"/>
    <w:pPr>
      <w:tabs>
        <w:tab w:val="right" w:leader="dot" w:pos="9345"/>
      </w:tabs>
      <w:spacing w:before="120"/>
    </w:pPr>
    <w:rPr>
      <w:rFonts w:ascii="Tahoma" w:hAnsi="Tahoma" w:cs="Tahoma"/>
      <w:bCs/>
      <w:i/>
      <w:iCs/>
      <w:noProof/>
      <w:sz w:val="22"/>
      <w:szCs w:val="22"/>
    </w:rPr>
  </w:style>
  <w:style w:type="character" w:styleId="Hyperlink">
    <w:name w:val="Hyperlink"/>
    <w:basedOn w:val="Fontepargpadro"/>
    <w:uiPriority w:val="99"/>
    <w:rsid w:val="00E81B9F"/>
    <w:rPr>
      <w:color w:val="0000FF"/>
      <w:u w:val="single"/>
    </w:rPr>
  </w:style>
  <w:style w:type="paragraph" w:styleId="Sumrio3">
    <w:name w:val="toc 3"/>
    <w:basedOn w:val="Normal"/>
    <w:next w:val="Normal"/>
    <w:autoRedefine/>
    <w:semiHidden/>
    <w:rsid w:val="00E81B9F"/>
    <w:pPr>
      <w:ind w:left="480"/>
    </w:pPr>
    <w:rPr>
      <w:sz w:val="20"/>
      <w:szCs w:val="20"/>
    </w:rPr>
  </w:style>
  <w:style w:type="table" w:styleId="Tabelacomgrade">
    <w:name w:val="Table Grid"/>
    <w:basedOn w:val="Tabelanormal"/>
    <w:rsid w:val="00E81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Capa">
    <w:name w:val="Título Capa"/>
    <w:semiHidden/>
    <w:rsid w:val="00E81B9F"/>
    <w:rPr>
      <w:rFonts w:ascii="Tahoma" w:hAnsi="Tahoma"/>
      <w:b/>
      <w:color w:val="000080"/>
      <w:sz w:val="56"/>
      <w:szCs w:val="56"/>
    </w:rPr>
  </w:style>
  <w:style w:type="paragraph" w:customStyle="1" w:styleId="Capa1">
    <w:name w:val="Capa 1"/>
    <w:semiHidden/>
    <w:rsid w:val="00E81B9F"/>
    <w:pPr>
      <w:spacing w:after="240"/>
    </w:pPr>
    <w:rPr>
      <w:rFonts w:ascii="Tahoma" w:hAnsi="Tahoma" w:cs="Tahoma"/>
      <w:b/>
      <w:sz w:val="22"/>
      <w:szCs w:val="22"/>
    </w:rPr>
  </w:style>
  <w:style w:type="paragraph" w:customStyle="1" w:styleId="Capa2">
    <w:name w:val="Capa 2"/>
    <w:semiHidden/>
    <w:rsid w:val="00E81B9F"/>
    <w:rPr>
      <w:rFonts w:ascii="Tahoma" w:hAnsi="Tahoma" w:cs="Tahoma"/>
      <w:b/>
    </w:rPr>
  </w:style>
  <w:style w:type="paragraph" w:customStyle="1" w:styleId="Capa3">
    <w:name w:val="Capa 3"/>
    <w:semiHidden/>
    <w:rsid w:val="00E81B9F"/>
    <w:pPr>
      <w:spacing w:after="120"/>
    </w:pPr>
    <w:rPr>
      <w:rFonts w:ascii="Tahoma" w:hAnsi="Tahoma" w:cs="Tahoma"/>
    </w:rPr>
  </w:style>
  <w:style w:type="paragraph" w:customStyle="1" w:styleId="TextoCapa">
    <w:name w:val="Texto Capa"/>
    <w:semiHidden/>
    <w:rsid w:val="00E81B9F"/>
    <w:pPr>
      <w:spacing w:before="120"/>
      <w:jc w:val="both"/>
    </w:pPr>
    <w:rPr>
      <w:rFonts w:ascii="Tahoma" w:hAnsi="Tahoma" w:cs="Tahoma"/>
    </w:rPr>
  </w:style>
  <w:style w:type="paragraph" w:customStyle="1" w:styleId="CGVTEXT">
    <w:name w:val="CGVTEXT"/>
    <w:basedOn w:val="Corpodetexto2"/>
    <w:autoRedefine/>
    <w:rsid w:val="00E81B9F"/>
    <w:pPr>
      <w:spacing w:after="0" w:line="240" w:lineRule="auto"/>
      <w:jc w:val="both"/>
    </w:pPr>
    <w:rPr>
      <w:rFonts w:ascii="Tahoma" w:hAnsi="Tahoma" w:cs="Tahoma"/>
      <w:i/>
      <w:iCs/>
      <w:snapToGrid w:val="0"/>
      <w:color w:val="000000"/>
      <w:sz w:val="14"/>
      <w:szCs w:val="14"/>
    </w:rPr>
  </w:style>
  <w:style w:type="paragraph" w:styleId="Corpodetexto2">
    <w:name w:val="Body Text 2"/>
    <w:basedOn w:val="Normal"/>
    <w:rsid w:val="00E81B9F"/>
    <w:pPr>
      <w:spacing w:after="120" w:line="480" w:lineRule="auto"/>
    </w:pPr>
  </w:style>
  <w:style w:type="paragraph" w:styleId="Sumrio4">
    <w:name w:val="toc 4"/>
    <w:basedOn w:val="Normal"/>
    <w:next w:val="Normal"/>
    <w:autoRedefine/>
    <w:semiHidden/>
    <w:rsid w:val="00E81B9F"/>
    <w:pPr>
      <w:ind w:left="720"/>
    </w:pPr>
    <w:rPr>
      <w:sz w:val="20"/>
      <w:szCs w:val="20"/>
    </w:rPr>
  </w:style>
  <w:style w:type="paragraph" w:customStyle="1" w:styleId="CGVTitPChar">
    <w:name w:val="CGVTitP Char"/>
    <w:link w:val="CGVTitPCharChar"/>
    <w:autoRedefine/>
    <w:rsid w:val="00E81B9F"/>
    <w:pPr>
      <w:spacing w:after="240" w:line="240" w:lineRule="atLeast"/>
    </w:pPr>
    <w:rPr>
      <w:rFonts w:ascii="Tahoma" w:hAnsi="Tahoma"/>
      <w:b/>
      <w:smallCaps/>
      <w:noProof/>
      <w:color w:val="000000"/>
      <w:sz w:val="32"/>
      <w:szCs w:val="32"/>
    </w:rPr>
  </w:style>
  <w:style w:type="character" w:customStyle="1" w:styleId="CGVTitPCharChar">
    <w:name w:val="CGVTitP Char Char"/>
    <w:basedOn w:val="Fontepargpadro"/>
    <w:link w:val="CGVTitPChar"/>
    <w:rsid w:val="00E81B9F"/>
    <w:rPr>
      <w:rFonts w:ascii="Tahoma" w:hAnsi="Tahoma"/>
      <w:b/>
      <w:smallCaps/>
      <w:noProof/>
      <w:color w:val="000000"/>
      <w:sz w:val="32"/>
      <w:szCs w:val="32"/>
      <w:lang w:val="pt-BR" w:eastAsia="pt-BR" w:bidi="ar-SA"/>
    </w:rPr>
  </w:style>
  <w:style w:type="paragraph" w:styleId="ndicedeilustraes">
    <w:name w:val="table of figures"/>
    <w:basedOn w:val="Normal"/>
    <w:next w:val="Normal"/>
    <w:uiPriority w:val="99"/>
    <w:rsid w:val="00E81B9F"/>
    <w:rPr>
      <w:i/>
      <w:iCs/>
      <w:sz w:val="20"/>
      <w:szCs w:val="20"/>
    </w:rPr>
  </w:style>
  <w:style w:type="paragraph" w:styleId="Sumrio5">
    <w:name w:val="toc 5"/>
    <w:basedOn w:val="Normal"/>
    <w:next w:val="Normal"/>
    <w:autoRedefine/>
    <w:semiHidden/>
    <w:rsid w:val="00F0316D"/>
    <w:pPr>
      <w:ind w:left="960"/>
    </w:pPr>
    <w:rPr>
      <w:sz w:val="20"/>
      <w:szCs w:val="20"/>
    </w:rPr>
  </w:style>
  <w:style w:type="paragraph" w:styleId="Sumrio6">
    <w:name w:val="toc 6"/>
    <w:basedOn w:val="Normal"/>
    <w:next w:val="Normal"/>
    <w:autoRedefine/>
    <w:semiHidden/>
    <w:rsid w:val="00F0316D"/>
    <w:pPr>
      <w:ind w:left="1200"/>
    </w:pPr>
    <w:rPr>
      <w:sz w:val="20"/>
      <w:szCs w:val="20"/>
    </w:rPr>
  </w:style>
  <w:style w:type="paragraph" w:styleId="Sumrio7">
    <w:name w:val="toc 7"/>
    <w:basedOn w:val="Normal"/>
    <w:next w:val="Normal"/>
    <w:autoRedefine/>
    <w:semiHidden/>
    <w:rsid w:val="00F0316D"/>
    <w:pPr>
      <w:ind w:left="1440"/>
    </w:pPr>
    <w:rPr>
      <w:sz w:val="20"/>
      <w:szCs w:val="20"/>
    </w:rPr>
  </w:style>
  <w:style w:type="paragraph" w:styleId="Sumrio8">
    <w:name w:val="toc 8"/>
    <w:basedOn w:val="Normal"/>
    <w:next w:val="Normal"/>
    <w:autoRedefine/>
    <w:semiHidden/>
    <w:rsid w:val="00F0316D"/>
    <w:pPr>
      <w:ind w:left="1680"/>
    </w:pPr>
    <w:rPr>
      <w:sz w:val="20"/>
      <w:szCs w:val="20"/>
    </w:rPr>
  </w:style>
  <w:style w:type="paragraph" w:styleId="Sumrio9">
    <w:name w:val="toc 9"/>
    <w:basedOn w:val="Normal"/>
    <w:next w:val="Normal"/>
    <w:autoRedefine/>
    <w:semiHidden/>
    <w:rsid w:val="00F0316D"/>
    <w:pPr>
      <w:ind w:left="1920"/>
    </w:pPr>
    <w:rPr>
      <w:sz w:val="20"/>
      <w:szCs w:val="20"/>
    </w:rPr>
  </w:style>
  <w:style w:type="paragraph" w:styleId="Legenda">
    <w:name w:val="caption"/>
    <w:aliases w:val="Gráfico, Char Char Char,Char Char Char + Tahoma,8 pt,Centralizado,Depois de:  3 pt + Tahoma,...."/>
    <w:basedOn w:val="Normal"/>
    <w:next w:val="Normal"/>
    <w:link w:val="LegendaChar"/>
    <w:qFormat/>
    <w:rsid w:val="00F0316D"/>
    <w:rPr>
      <w:b/>
      <w:bCs/>
      <w:sz w:val="20"/>
      <w:szCs w:val="20"/>
    </w:rPr>
  </w:style>
  <w:style w:type="character" w:customStyle="1" w:styleId="LegendaChar">
    <w:name w:val="Legenda Char"/>
    <w:aliases w:val="Gráfico Char, Char Char Char Char,Char Char Char + Tahoma Char,8 pt Char,Centralizado Char,Depois de:  3 pt + Tahoma Char,.... Char"/>
    <w:basedOn w:val="Fontepargpadro"/>
    <w:link w:val="Legenda"/>
    <w:rsid w:val="00A13252"/>
    <w:rPr>
      <w:b/>
      <w:bCs/>
      <w:lang w:val="pt-BR" w:eastAsia="pt-BR" w:bidi="ar-SA"/>
    </w:rPr>
  </w:style>
  <w:style w:type="character" w:styleId="HiperlinkVisitado">
    <w:name w:val="FollowedHyperlink"/>
    <w:basedOn w:val="Fontepargpadro"/>
    <w:uiPriority w:val="99"/>
    <w:rsid w:val="00F81FE0"/>
    <w:rPr>
      <w:color w:val="800080"/>
      <w:u w:val="single"/>
    </w:rPr>
  </w:style>
  <w:style w:type="paragraph" w:customStyle="1" w:styleId="corpodotexto0">
    <w:name w:val="corpodotexto"/>
    <w:basedOn w:val="Normal"/>
    <w:rsid w:val="00FB5151"/>
    <w:pPr>
      <w:spacing w:before="240" w:after="240" w:line="360" w:lineRule="atLeast"/>
      <w:ind w:left="284"/>
      <w:jc w:val="both"/>
    </w:pPr>
    <w:rPr>
      <w:rFonts w:ascii="Tahoma" w:eastAsia="Arial Unicode MS" w:hAnsi="Tahoma" w:cs="Tahoma"/>
      <w:sz w:val="22"/>
      <w:szCs w:val="22"/>
      <w:lang w:val="en-US" w:eastAsia="en-US"/>
    </w:rPr>
  </w:style>
  <w:style w:type="character" w:customStyle="1" w:styleId="grame">
    <w:name w:val="grame"/>
    <w:basedOn w:val="Fontepargpadro"/>
    <w:rsid w:val="00FB5151"/>
  </w:style>
  <w:style w:type="paragraph" w:styleId="Textodenotaderodap">
    <w:name w:val="footnote text"/>
    <w:basedOn w:val="Normal"/>
    <w:link w:val="TextodenotaderodapChar"/>
    <w:semiHidden/>
    <w:rsid w:val="00D62331"/>
    <w:rPr>
      <w:sz w:val="20"/>
      <w:szCs w:val="20"/>
    </w:rPr>
  </w:style>
  <w:style w:type="paragraph" w:styleId="MapadoDocumento">
    <w:name w:val="Document Map"/>
    <w:basedOn w:val="Normal"/>
    <w:semiHidden/>
    <w:rsid w:val="00CE2B87"/>
    <w:pPr>
      <w:shd w:val="clear" w:color="auto" w:fill="000080"/>
    </w:pPr>
    <w:rPr>
      <w:rFonts w:ascii="Tahoma" w:hAnsi="Tahoma" w:cs="Tahoma"/>
      <w:sz w:val="20"/>
      <w:szCs w:val="20"/>
    </w:rPr>
  </w:style>
  <w:style w:type="paragraph" w:customStyle="1" w:styleId="Default">
    <w:name w:val="Default"/>
    <w:rsid w:val="00350D3A"/>
    <w:pPr>
      <w:autoSpaceDE w:val="0"/>
      <w:autoSpaceDN w:val="0"/>
      <w:adjustRightInd w:val="0"/>
    </w:pPr>
    <w:rPr>
      <w:color w:val="000000"/>
      <w:sz w:val="24"/>
      <w:szCs w:val="24"/>
    </w:rPr>
  </w:style>
  <w:style w:type="paragraph" w:customStyle="1" w:styleId="TituloA">
    <w:name w:val="Titulo A"/>
    <w:basedOn w:val="Normal"/>
    <w:rsid w:val="004166E8"/>
    <w:pPr>
      <w:numPr>
        <w:numId w:val="23"/>
      </w:numPr>
    </w:pPr>
  </w:style>
  <w:style w:type="paragraph" w:customStyle="1" w:styleId="TtuloB">
    <w:name w:val="Título B"/>
    <w:basedOn w:val="Normal"/>
    <w:rsid w:val="004166E8"/>
    <w:pPr>
      <w:numPr>
        <w:ilvl w:val="1"/>
        <w:numId w:val="23"/>
      </w:numPr>
    </w:pPr>
  </w:style>
  <w:style w:type="paragraph" w:customStyle="1" w:styleId="Normalesquerda0cm">
    <w:name w:val="Normal+ À esquerda:  0 cm"/>
    <w:aliases w:val="Primeira linha:  0 cm,Antes:  5 pt,D..."/>
    <w:basedOn w:val="EstiloTtulo1"/>
    <w:rsid w:val="00E22B45"/>
    <w:pPr>
      <w:numPr>
        <w:numId w:val="0"/>
      </w:numPr>
      <w:spacing w:before="100" w:beforeAutospacing="1" w:after="200"/>
      <w:outlineLvl w:val="0"/>
    </w:pPr>
    <w:rPr>
      <w:rFonts w:ascii="Tahoma" w:hAnsi="Tahoma" w:cs="Tahoma"/>
      <w:b/>
      <w:bCs/>
      <w:sz w:val="22"/>
    </w:rPr>
  </w:style>
  <w:style w:type="paragraph" w:styleId="Textodebalo">
    <w:name w:val="Balloon Text"/>
    <w:basedOn w:val="Normal"/>
    <w:semiHidden/>
    <w:rsid w:val="00605D17"/>
    <w:rPr>
      <w:rFonts w:ascii="Tahoma" w:hAnsi="Tahoma" w:cs="Tahoma"/>
      <w:sz w:val="16"/>
      <w:szCs w:val="16"/>
    </w:rPr>
  </w:style>
  <w:style w:type="character" w:styleId="Refdecomentrio">
    <w:name w:val="annotation reference"/>
    <w:basedOn w:val="Fontepargpadro"/>
    <w:semiHidden/>
    <w:rsid w:val="00DA5593"/>
    <w:rPr>
      <w:sz w:val="16"/>
      <w:szCs w:val="16"/>
    </w:rPr>
  </w:style>
  <w:style w:type="paragraph" w:styleId="Textodecomentrio">
    <w:name w:val="annotation text"/>
    <w:basedOn w:val="Normal"/>
    <w:semiHidden/>
    <w:rsid w:val="00DA5593"/>
    <w:rPr>
      <w:sz w:val="20"/>
      <w:szCs w:val="20"/>
    </w:rPr>
  </w:style>
  <w:style w:type="paragraph" w:styleId="Assuntodocomentrio">
    <w:name w:val="annotation subject"/>
    <w:basedOn w:val="Textodecomentrio"/>
    <w:next w:val="Textodecomentrio"/>
    <w:semiHidden/>
    <w:rsid w:val="00DA5593"/>
    <w:rPr>
      <w:b/>
      <w:bCs/>
    </w:rPr>
  </w:style>
  <w:style w:type="paragraph" w:customStyle="1" w:styleId="EstiloTtulo2Tahoma">
    <w:name w:val="Estilo Título 2 + + Tahoma"/>
    <w:aliases w:val="13 pt,Negrito,Antes:  50 pt,Depois de:  10 pt"/>
    <w:basedOn w:val="EstiloTtulo1"/>
    <w:rsid w:val="00BB0E13"/>
    <w:pPr>
      <w:numPr>
        <w:ilvl w:val="1"/>
        <w:numId w:val="30"/>
      </w:numPr>
      <w:spacing w:before="1000" w:after="200"/>
      <w:outlineLvl w:val="0"/>
    </w:pPr>
    <w:rPr>
      <w:rFonts w:ascii="Tahoma" w:hAnsi="Tahoma" w:cs="Tahoma"/>
      <w:b/>
      <w:sz w:val="26"/>
      <w:szCs w:val="26"/>
    </w:rPr>
  </w:style>
  <w:style w:type="paragraph" w:styleId="PargrafodaLista">
    <w:name w:val="List Paragraph"/>
    <w:basedOn w:val="Normal"/>
    <w:uiPriority w:val="34"/>
    <w:qFormat/>
    <w:rsid w:val="00D32583"/>
    <w:pPr>
      <w:ind w:left="720"/>
      <w:contextualSpacing/>
    </w:pPr>
  </w:style>
  <w:style w:type="paragraph" w:customStyle="1" w:styleId="xl65">
    <w:name w:val="xl65"/>
    <w:basedOn w:val="Normal"/>
    <w:rsid w:val="004B706F"/>
    <w:pPr>
      <w:spacing w:before="100" w:beforeAutospacing="1" w:after="100" w:afterAutospacing="1"/>
      <w:jc w:val="center"/>
    </w:pPr>
  </w:style>
  <w:style w:type="paragraph" w:customStyle="1" w:styleId="xl66">
    <w:name w:val="xl66"/>
    <w:basedOn w:val="Normal"/>
    <w:rsid w:val="004B706F"/>
    <w:pPr>
      <w:pBdr>
        <w:bottom w:val="single" w:sz="4" w:space="0" w:color="auto"/>
        <w:right w:val="single" w:sz="4" w:space="0" w:color="auto"/>
      </w:pBdr>
      <w:spacing w:before="100" w:beforeAutospacing="1" w:after="100" w:afterAutospacing="1"/>
      <w:jc w:val="center"/>
    </w:pPr>
    <w:rPr>
      <w:rFonts w:ascii="Arial" w:hAnsi="Arial"/>
    </w:rPr>
  </w:style>
  <w:style w:type="paragraph" w:customStyle="1" w:styleId="xl67">
    <w:name w:val="xl67"/>
    <w:basedOn w:val="Normal"/>
    <w:rsid w:val="004B706F"/>
    <w:pPr>
      <w:pBdr>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8">
    <w:name w:val="xl68"/>
    <w:basedOn w:val="Normal"/>
    <w:rsid w:val="004B706F"/>
    <w:pPr>
      <w:pBdr>
        <w:left w:val="single" w:sz="4" w:space="0" w:color="auto"/>
        <w:bottom w:val="single" w:sz="4" w:space="0" w:color="auto"/>
      </w:pBdr>
      <w:spacing w:before="100" w:beforeAutospacing="1" w:after="100" w:afterAutospacing="1"/>
      <w:jc w:val="center"/>
    </w:pPr>
    <w:rPr>
      <w:rFonts w:ascii="Arial" w:hAnsi="Arial"/>
    </w:rPr>
  </w:style>
  <w:style w:type="paragraph" w:customStyle="1" w:styleId="xl69">
    <w:name w:val="xl69"/>
    <w:basedOn w:val="Normal"/>
    <w:rsid w:val="004B706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al"/>
    <w:rsid w:val="004B706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rsid w:val="004B706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2">
    <w:name w:val="xl72"/>
    <w:basedOn w:val="Normal"/>
    <w:rsid w:val="004B706F"/>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4B706F"/>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4B70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
    <w:rsid w:val="004B70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4B706F"/>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4B706F"/>
    <w:pPr>
      <w:pBdr>
        <w:top w:val="single" w:sz="4" w:space="0" w:color="auto"/>
        <w:right w:val="single" w:sz="4" w:space="0" w:color="auto"/>
      </w:pBdr>
      <w:spacing w:before="100" w:beforeAutospacing="1" w:after="100" w:afterAutospacing="1"/>
      <w:jc w:val="center"/>
    </w:pPr>
    <w:rPr>
      <w:rFonts w:ascii="Arial" w:hAnsi="Arial" w:cs="Arial"/>
    </w:rPr>
  </w:style>
  <w:style w:type="character" w:customStyle="1" w:styleId="TextodenotaderodapChar">
    <w:name w:val="Texto de nota de rodapé Char"/>
    <w:basedOn w:val="Fontepargpadro"/>
    <w:link w:val="Textodenotaderodap"/>
    <w:semiHidden/>
    <w:rsid w:val="00466A93"/>
  </w:style>
  <w:style w:type="character" w:customStyle="1" w:styleId="CabealhoChar">
    <w:name w:val="Cabeçalho Char"/>
    <w:basedOn w:val="Fontepargpadro"/>
    <w:link w:val="Cabealho"/>
    <w:rsid w:val="00833B11"/>
    <w:rPr>
      <w:rFonts w:ascii="Tahoma" w:hAnsi="Tahoma"/>
      <w:b/>
      <w:color w:val="FFFFFF"/>
      <w:sz w:val="18"/>
      <w:szCs w:val="24"/>
    </w:rPr>
  </w:style>
  <w:style w:type="character" w:customStyle="1" w:styleId="RodapChar">
    <w:name w:val="Rodapé Char"/>
    <w:basedOn w:val="Fontepargpadro"/>
    <w:link w:val="Rodap"/>
    <w:rsid w:val="00833B11"/>
    <w:rPr>
      <w:sz w:val="24"/>
      <w:szCs w:val="24"/>
    </w:rPr>
  </w:style>
  <w:style w:type="paragraph" w:styleId="Reviso">
    <w:name w:val="Revision"/>
    <w:hidden/>
    <w:uiPriority w:val="99"/>
    <w:semiHidden/>
    <w:rsid w:val="000D47D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1650"/>
    <w:rPr>
      <w:sz w:val="24"/>
      <w:szCs w:val="24"/>
    </w:rPr>
  </w:style>
  <w:style w:type="paragraph" w:styleId="Ttulo1">
    <w:name w:val="heading 1"/>
    <w:basedOn w:val="Normal"/>
    <w:next w:val="Normal"/>
    <w:qFormat/>
    <w:rsid w:val="00001650"/>
    <w:pPr>
      <w:keepNext/>
      <w:spacing w:before="1000" w:after="200"/>
      <w:outlineLvl w:val="0"/>
    </w:pPr>
    <w:rPr>
      <w:rFonts w:ascii="Tahoma" w:hAnsi="Tahoma" w:cs="Tahoma"/>
      <w:b/>
      <w:bCs/>
      <w:sz w:val="26"/>
    </w:rPr>
  </w:style>
  <w:style w:type="paragraph" w:styleId="Ttulo2">
    <w:name w:val="heading 2"/>
    <w:basedOn w:val="Normal"/>
    <w:next w:val="Normal"/>
    <w:qFormat/>
    <w:rsid w:val="00001650"/>
    <w:pPr>
      <w:keepNext/>
      <w:numPr>
        <w:numId w:val="3"/>
      </w:numPr>
      <w:spacing w:before="600" w:after="200"/>
      <w:outlineLvl w:val="1"/>
    </w:pPr>
    <w:rPr>
      <w:rFonts w:ascii="Tahoma" w:hAnsi="Tahoma" w:cs="Tahoma"/>
      <w:b/>
      <w:bCs/>
      <w:sz w:val="22"/>
    </w:rPr>
  </w:style>
  <w:style w:type="paragraph" w:styleId="Ttulo3">
    <w:name w:val="heading 3"/>
    <w:basedOn w:val="Normal"/>
    <w:next w:val="Normal"/>
    <w:qFormat/>
    <w:rsid w:val="00001650"/>
    <w:pPr>
      <w:keepNext/>
      <w:numPr>
        <w:ilvl w:val="2"/>
        <w:numId w:val="1"/>
      </w:numPr>
      <w:spacing w:before="600" w:after="280"/>
      <w:outlineLvl w:val="2"/>
    </w:pPr>
    <w:rPr>
      <w:rFonts w:ascii="Tahoma" w:hAnsi="Tahoma" w:cs="Arial"/>
      <w:b/>
      <w:bCs/>
      <w:sz w:val="22"/>
      <w:szCs w:val="26"/>
    </w:rPr>
  </w:style>
  <w:style w:type="paragraph" w:styleId="Ttulo4">
    <w:name w:val="heading 4"/>
    <w:basedOn w:val="Normal"/>
    <w:next w:val="Normal"/>
    <w:qFormat/>
    <w:rsid w:val="005D0E41"/>
    <w:pPr>
      <w:keepNext/>
      <w:numPr>
        <w:ilvl w:val="3"/>
        <w:numId w:val="1"/>
      </w:numPr>
      <w:spacing w:before="240" w:after="60"/>
      <w:outlineLvl w:val="3"/>
    </w:pPr>
    <w:rPr>
      <w:b/>
      <w:bCs/>
      <w:sz w:val="28"/>
      <w:szCs w:val="28"/>
    </w:rPr>
  </w:style>
  <w:style w:type="paragraph" w:styleId="Ttulo5">
    <w:name w:val="heading 5"/>
    <w:basedOn w:val="Normal"/>
    <w:next w:val="Normal"/>
    <w:qFormat/>
    <w:rsid w:val="005D0E41"/>
    <w:pPr>
      <w:numPr>
        <w:ilvl w:val="4"/>
        <w:numId w:val="1"/>
      </w:numPr>
      <w:spacing w:before="240" w:after="60"/>
      <w:outlineLvl w:val="4"/>
    </w:pPr>
    <w:rPr>
      <w:b/>
      <w:bCs/>
      <w:i/>
      <w:iCs/>
      <w:sz w:val="26"/>
      <w:szCs w:val="26"/>
    </w:rPr>
  </w:style>
  <w:style w:type="paragraph" w:styleId="Ttulo6">
    <w:name w:val="heading 6"/>
    <w:basedOn w:val="Normal"/>
    <w:next w:val="Normal"/>
    <w:qFormat/>
    <w:rsid w:val="005D0E41"/>
    <w:pPr>
      <w:numPr>
        <w:ilvl w:val="5"/>
        <w:numId w:val="1"/>
      </w:numPr>
      <w:spacing w:before="240" w:after="60"/>
      <w:outlineLvl w:val="5"/>
    </w:pPr>
    <w:rPr>
      <w:b/>
      <w:bCs/>
      <w:sz w:val="22"/>
      <w:szCs w:val="22"/>
    </w:rPr>
  </w:style>
  <w:style w:type="paragraph" w:styleId="Ttulo7">
    <w:name w:val="heading 7"/>
    <w:basedOn w:val="Normal"/>
    <w:next w:val="Normal"/>
    <w:qFormat/>
    <w:rsid w:val="005D0E41"/>
    <w:pPr>
      <w:numPr>
        <w:ilvl w:val="6"/>
        <w:numId w:val="1"/>
      </w:numPr>
      <w:spacing w:before="240" w:after="60"/>
      <w:outlineLvl w:val="6"/>
    </w:pPr>
  </w:style>
  <w:style w:type="paragraph" w:styleId="Ttulo8">
    <w:name w:val="heading 8"/>
    <w:basedOn w:val="Normal"/>
    <w:next w:val="Normal"/>
    <w:qFormat/>
    <w:rsid w:val="005D0E41"/>
    <w:pPr>
      <w:numPr>
        <w:ilvl w:val="7"/>
        <w:numId w:val="1"/>
      </w:numPr>
      <w:spacing w:before="240" w:after="60"/>
      <w:outlineLvl w:val="7"/>
    </w:pPr>
    <w:rPr>
      <w:i/>
      <w:iCs/>
    </w:rPr>
  </w:style>
  <w:style w:type="paragraph" w:styleId="Ttulo9">
    <w:name w:val="heading 9"/>
    <w:basedOn w:val="Normal"/>
    <w:next w:val="Normal"/>
    <w:qFormat/>
    <w:rsid w:val="005D0E41"/>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001650"/>
    <w:pPr>
      <w:tabs>
        <w:tab w:val="center" w:pos="4419"/>
        <w:tab w:val="right" w:pos="8838"/>
      </w:tabs>
    </w:pPr>
    <w:rPr>
      <w:rFonts w:ascii="Tahoma" w:hAnsi="Tahoma"/>
      <w:b/>
      <w:color w:val="FFFFFF"/>
      <w:sz w:val="18"/>
    </w:rPr>
  </w:style>
  <w:style w:type="paragraph" w:styleId="Rodap">
    <w:name w:val="footer"/>
    <w:basedOn w:val="Normal"/>
    <w:link w:val="RodapChar"/>
    <w:rsid w:val="00001650"/>
    <w:pPr>
      <w:tabs>
        <w:tab w:val="center" w:pos="4419"/>
        <w:tab w:val="right" w:pos="8838"/>
      </w:tabs>
    </w:pPr>
  </w:style>
  <w:style w:type="paragraph" w:customStyle="1" w:styleId="Fonte">
    <w:name w:val="Fonte"/>
    <w:basedOn w:val="Normal"/>
    <w:rsid w:val="00001650"/>
    <w:pPr>
      <w:spacing w:after="160"/>
      <w:ind w:left="284"/>
    </w:pPr>
    <w:rPr>
      <w:rFonts w:ascii="Tahoma" w:hAnsi="Tahoma"/>
      <w:sz w:val="16"/>
    </w:rPr>
  </w:style>
  <w:style w:type="character" w:styleId="Refdenotaderodap">
    <w:name w:val="footnote reference"/>
    <w:basedOn w:val="Fontepargpadro"/>
    <w:semiHidden/>
    <w:rsid w:val="00001650"/>
    <w:rPr>
      <w:vertAlign w:val="superscript"/>
    </w:rPr>
  </w:style>
  <w:style w:type="paragraph" w:customStyle="1" w:styleId="CorpodoTexto">
    <w:name w:val="Corpo do Texto"/>
    <w:basedOn w:val="Normal"/>
    <w:link w:val="CorpodoTextoChar"/>
    <w:rsid w:val="00001650"/>
    <w:pPr>
      <w:widowControl w:val="0"/>
      <w:spacing w:before="240" w:after="240" w:line="360" w:lineRule="exact"/>
      <w:ind w:left="284"/>
      <w:jc w:val="both"/>
    </w:pPr>
    <w:rPr>
      <w:rFonts w:ascii="Tahoma" w:hAnsi="Tahoma" w:cs="Tahoma"/>
      <w:sz w:val="22"/>
    </w:rPr>
  </w:style>
  <w:style w:type="character" w:customStyle="1" w:styleId="CorpodoTextoChar">
    <w:name w:val="Corpo do Texto Char"/>
    <w:basedOn w:val="Fontepargpadro"/>
    <w:link w:val="CorpodoTexto"/>
    <w:rsid w:val="00A13252"/>
    <w:rPr>
      <w:rFonts w:ascii="Tahoma" w:hAnsi="Tahoma" w:cs="Tahoma"/>
      <w:sz w:val="22"/>
      <w:szCs w:val="24"/>
      <w:lang w:val="pt-BR" w:eastAsia="pt-BR" w:bidi="ar-SA"/>
    </w:rPr>
  </w:style>
  <w:style w:type="paragraph" w:customStyle="1" w:styleId="Titulo-TabeGraf">
    <w:name w:val="Titulo-Tab e Graf"/>
    <w:basedOn w:val="Normal"/>
    <w:rsid w:val="00001650"/>
    <w:pPr>
      <w:spacing w:before="400" w:after="100"/>
      <w:ind w:left="284"/>
    </w:pPr>
    <w:rPr>
      <w:rFonts w:ascii="Tahoma" w:hAnsi="Tahoma" w:cs="Tahoma"/>
      <w:b/>
      <w:sz w:val="18"/>
    </w:rPr>
  </w:style>
  <w:style w:type="paragraph" w:customStyle="1" w:styleId="Noparagraphstyle">
    <w:name w:val="[No paragraph style]"/>
    <w:rsid w:val="00001650"/>
    <w:pPr>
      <w:autoSpaceDE w:val="0"/>
      <w:autoSpaceDN w:val="0"/>
      <w:adjustRightInd w:val="0"/>
      <w:spacing w:line="288" w:lineRule="auto"/>
      <w:textAlignment w:val="center"/>
    </w:pPr>
    <w:rPr>
      <w:color w:val="000000"/>
      <w:sz w:val="24"/>
      <w:szCs w:val="24"/>
    </w:rPr>
  </w:style>
  <w:style w:type="paragraph" w:customStyle="1" w:styleId="NotadeRodape">
    <w:name w:val="Nota de Rodape"/>
    <w:basedOn w:val="Normal"/>
    <w:rsid w:val="00001650"/>
    <w:rPr>
      <w:sz w:val="18"/>
      <w:szCs w:val="20"/>
    </w:rPr>
  </w:style>
  <w:style w:type="paragraph" w:customStyle="1" w:styleId="EstiloTtulo1">
    <w:name w:val="Estilo Título 1 +"/>
    <w:basedOn w:val="Normal"/>
    <w:rsid w:val="005D0E41"/>
    <w:pPr>
      <w:numPr>
        <w:numId w:val="1"/>
      </w:numPr>
    </w:pPr>
  </w:style>
  <w:style w:type="character" w:styleId="Nmerodepgina">
    <w:name w:val="page number"/>
    <w:basedOn w:val="Fontepargpadro"/>
    <w:rsid w:val="00985BC5"/>
  </w:style>
  <w:style w:type="paragraph" w:customStyle="1" w:styleId="itembullet">
    <w:name w:val="item bullet"/>
    <w:basedOn w:val="Normal"/>
    <w:autoRedefine/>
    <w:rsid w:val="00C649E4"/>
    <w:pPr>
      <w:numPr>
        <w:numId w:val="2"/>
      </w:numPr>
      <w:spacing w:after="120"/>
      <w:jc w:val="both"/>
    </w:pPr>
    <w:rPr>
      <w:szCs w:val="20"/>
    </w:rPr>
  </w:style>
  <w:style w:type="paragraph" w:styleId="Sumrio2">
    <w:name w:val="toc 2"/>
    <w:basedOn w:val="Normal"/>
    <w:next w:val="Normal"/>
    <w:autoRedefine/>
    <w:rsid w:val="00E81B9F"/>
    <w:pPr>
      <w:spacing w:before="120"/>
      <w:ind w:left="240"/>
    </w:pPr>
    <w:rPr>
      <w:b/>
      <w:bCs/>
      <w:sz w:val="22"/>
      <w:szCs w:val="22"/>
    </w:rPr>
  </w:style>
  <w:style w:type="paragraph" w:styleId="Sumrio1">
    <w:name w:val="toc 1"/>
    <w:basedOn w:val="Normal"/>
    <w:next w:val="Normal"/>
    <w:autoRedefine/>
    <w:uiPriority w:val="39"/>
    <w:rsid w:val="004A15D8"/>
    <w:pPr>
      <w:tabs>
        <w:tab w:val="right" w:leader="dot" w:pos="9345"/>
      </w:tabs>
      <w:spacing w:before="120"/>
    </w:pPr>
    <w:rPr>
      <w:rFonts w:ascii="Tahoma" w:hAnsi="Tahoma" w:cs="Tahoma"/>
      <w:bCs/>
      <w:i/>
      <w:iCs/>
      <w:noProof/>
      <w:sz w:val="22"/>
      <w:szCs w:val="22"/>
    </w:rPr>
  </w:style>
  <w:style w:type="character" w:styleId="Hyperlink">
    <w:name w:val="Hyperlink"/>
    <w:basedOn w:val="Fontepargpadro"/>
    <w:uiPriority w:val="99"/>
    <w:rsid w:val="00E81B9F"/>
    <w:rPr>
      <w:color w:val="0000FF"/>
      <w:u w:val="single"/>
    </w:rPr>
  </w:style>
  <w:style w:type="paragraph" w:styleId="Sumrio3">
    <w:name w:val="toc 3"/>
    <w:basedOn w:val="Normal"/>
    <w:next w:val="Normal"/>
    <w:autoRedefine/>
    <w:semiHidden/>
    <w:rsid w:val="00E81B9F"/>
    <w:pPr>
      <w:ind w:left="480"/>
    </w:pPr>
    <w:rPr>
      <w:sz w:val="20"/>
      <w:szCs w:val="20"/>
    </w:rPr>
  </w:style>
  <w:style w:type="table" w:styleId="Tabelacomgrade">
    <w:name w:val="Table Grid"/>
    <w:basedOn w:val="Tabelanormal"/>
    <w:rsid w:val="00E81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Capa">
    <w:name w:val="Título Capa"/>
    <w:semiHidden/>
    <w:rsid w:val="00E81B9F"/>
    <w:rPr>
      <w:rFonts w:ascii="Tahoma" w:hAnsi="Tahoma"/>
      <w:b/>
      <w:color w:val="000080"/>
      <w:sz w:val="56"/>
      <w:szCs w:val="56"/>
    </w:rPr>
  </w:style>
  <w:style w:type="paragraph" w:customStyle="1" w:styleId="Capa1">
    <w:name w:val="Capa 1"/>
    <w:semiHidden/>
    <w:rsid w:val="00E81B9F"/>
    <w:pPr>
      <w:spacing w:after="240"/>
    </w:pPr>
    <w:rPr>
      <w:rFonts w:ascii="Tahoma" w:hAnsi="Tahoma" w:cs="Tahoma"/>
      <w:b/>
      <w:sz w:val="22"/>
      <w:szCs w:val="22"/>
    </w:rPr>
  </w:style>
  <w:style w:type="paragraph" w:customStyle="1" w:styleId="Capa2">
    <w:name w:val="Capa 2"/>
    <w:semiHidden/>
    <w:rsid w:val="00E81B9F"/>
    <w:rPr>
      <w:rFonts w:ascii="Tahoma" w:hAnsi="Tahoma" w:cs="Tahoma"/>
      <w:b/>
    </w:rPr>
  </w:style>
  <w:style w:type="paragraph" w:customStyle="1" w:styleId="Capa3">
    <w:name w:val="Capa 3"/>
    <w:semiHidden/>
    <w:rsid w:val="00E81B9F"/>
    <w:pPr>
      <w:spacing w:after="120"/>
    </w:pPr>
    <w:rPr>
      <w:rFonts w:ascii="Tahoma" w:hAnsi="Tahoma" w:cs="Tahoma"/>
    </w:rPr>
  </w:style>
  <w:style w:type="paragraph" w:customStyle="1" w:styleId="TextoCapa">
    <w:name w:val="Texto Capa"/>
    <w:semiHidden/>
    <w:rsid w:val="00E81B9F"/>
    <w:pPr>
      <w:spacing w:before="120"/>
      <w:jc w:val="both"/>
    </w:pPr>
    <w:rPr>
      <w:rFonts w:ascii="Tahoma" w:hAnsi="Tahoma" w:cs="Tahoma"/>
    </w:rPr>
  </w:style>
  <w:style w:type="paragraph" w:customStyle="1" w:styleId="CGVTEXT">
    <w:name w:val="CGVTEXT"/>
    <w:basedOn w:val="Corpodetexto2"/>
    <w:autoRedefine/>
    <w:rsid w:val="00E81B9F"/>
    <w:pPr>
      <w:spacing w:after="0" w:line="240" w:lineRule="auto"/>
      <w:jc w:val="both"/>
    </w:pPr>
    <w:rPr>
      <w:rFonts w:ascii="Tahoma" w:hAnsi="Tahoma" w:cs="Tahoma"/>
      <w:i/>
      <w:iCs/>
      <w:snapToGrid w:val="0"/>
      <w:color w:val="000000"/>
      <w:sz w:val="14"/>
      <w:szCs w:val="14"/>
    </w:rPr>
  </w:style>
  <w:style w:type="paragraph" w:styleId="Corpodetexto2">
    <w:name w:val="Body Text 2"/>
    <w:basedOn w:val="Normal"/>
    <w:rsid w:val="00E81B9F"/>
    <w:pPr>
      <w:spacing w:after="120" w:line="480" w:lineRule="auto"/>
    </w:pPr>
  </w:style>
  <w:style w:type="paragraph" w:styleId="Sumrio4">
    <w:name w:val="toc 4"/>
    <w:basedOn w:val="Normal"/>
    <w:next w:val="Normal"/>
    <w:autoRedefine/>
    <w:semiHidden/>
    <w:rsid w:val="00E81B9F"/>
    <w:pPr>
      <w:ind w:left="720"/>
    </w:pPr>
    <w:rPr>
      <w:sz w:val="20"/>
      <w:szCs w:val="20"/>
    </w:rPr>
  </w:style>
  <w:style w:type="paragraph" w:customStyle="1" w:styleId="CGVTitPChar">
    <w:name w:val="CGVTitP Char"/>
    <w:link w:val="CGVTitPCharChar"/>
    <w:autoRedefine/>
    <w:rsid w:val="00E81B9F"/>
    <w:pPr>
      <w:spacing w:after="240" w:line="240" w:lineRule="atLeast"/>
    </w:pPr>
    <w:rPr>
      <w:rFonts w:ascii="Tahoma" w:hAnsi="Tahoma"/>
      <w:b/>
      <w:smallCaps/>
      <w:noProof/>
      <w:color w:val="000000"/>
      <w:sz w:val="32"/>
      <w:szCs w:val="32"/>
      <w14:shadow w14:blurRad="50800" w14:dist="38100" w14:dir="2700000" w14:sx="100000" w14:sy="100000" w14:kx="0" w14:ky="0" w14:algn="tl">
        <w14:srgbClr w14:val="000000">
          <w14:alpha w14:val="60000"/>
        </w14:srgbClr>
      </w14:shadow>
    </w:rPr>
  </w:style>
  <w:style w:type="character" w:customStyle="1" w:styleId="CGVTitPCharChar">
    <w:name w:val="CGVTitP Char Char"/>
    <w:basedOn w:val="Fontepargpadro"/>
    <w:link w:val="CGVTitPChar"/>
    <w:rsid w:val="00E81B9F"/>
    <w:rPr>
      <w:rFonts w:ascii="Tahoma" w:hAnsi="Tahoma"/>
      <w:b/>
      <w:smallCaps/>
      <w:noProof/>
      <w:color w:val="000000"/>
      <w:sz w:val="32"/>
      <w:szCs w:val="32"/>
      <w:lang w:val="pt-BR" w:eastAsia="pt-BR" w:bidi="ar-SA"/>
      <w14:shadow w14:blurRad="50800" w14:dist="38100" w14:dir="2700000" w14:sx="100000" w14:sy="100000" w14:kx="0" w14:ky="0" w14:algn="tl">
        <w14:srgbClr w14:val="000000">
          <w14:alpha w14:val="60000"/>
        </w14:srgbClr>
      </w14:shadow>
    </w:rPr>
  </w:style>
  <w:style w:type="paragraph" w:styleId="ndicedeilustraes">
    <w:name w:val="table of figures"/>
    <w:basedOn w:val="Normal"/>
    <w:next w:val="Normal"/>
    <w:uiPriority w:val="99"/>
    <w:rsid w:val="00E81B9F"/>
    <w:rPr>
      <w:i/>
      <w:iCs/>
      <w:sz w:val="20"/>
      <w:szCs w:val="20"/>
    </w:rPr>
  </w:style>
  <w:style w:type="paragraph" w:styleId="Sumrio5">
    <w:name w:val="toc 5"/>
    <w:basedOn w:val="Normal"/>
    <w:next w:val="Normal"/>
    <w:autoRedefine/>
    <w:semiHidden/>
    <w:rsid w:val="00F0316D"/>
    <w:pPr>
      <w:ind w:left="960"/>
    </w:pPr>
    <w:rPr>
      <w:sz w:val="20"/>
      <w:szCs w:val="20"/>
    </w:rPr>
  </w:style>
  <w:style w:type="paragraph" w:styleId="Sumrio6">
    <w:name w:val="toc 6"/>
    <w:basedOn w:val="Normal"/>
    <w:next w:val="Normal"/>
    <w:autoRedefine/>
    <w:semiHidden/>
    <w:rsid w:val="00F0316D"/>
    <w:pPr>
      <w:ind w:left="1200"/>
    </w:pPr>
    <w:rPr>
      <w:sz w:val="20"/>
      <w:szCs w:val="20"/>
    </w:rPr>
  </w:style>
  <w:style w:type="paragraph" w:styleId="Sumrio7">
    <w:name w:val="toc 7"/>
    <w:basedOn w:val="Normal"/>
    <w:next w:val="Normal"/>
    <w:autoRedefine/>
    <w:semiHidden/>
    <w:rsid w:val="00F0316D"/>
    <w:pPr>
      <w:ind w:left="1440"/>
    </w:pPr>
    <w:rPr>
      <w:sz w:val="20"/>
      <w:szCs w:val="20"/>
    </w:rPr>
  </w:style>
  <w:style w:type="paragraph" w:styleId="Sumrio8">
    <w:name w:val="toc 8"/>
    <w:basedOn w:val="Normal"/>
    <w:next w:val="Normal"/>
    <w:autoRedefine/>
    <w:semiHidden/>
    <w:rsid w:val="00F0316D"/>
    <w:pPr>
      <w:ind w:left="1680"/>
    </w:pPr>
    <w:rPr>
      <w:sz w:val="20"/>
      <w:szCs w:val="20"/>
    </w:rPr>
  </w:style>
  <w:style w:type="paragraph" w:styleId="Sumrio9">
    <w:name w:val="toc 9"/>
    <w:basedOn w:val="Normal"/>
    <w:next w:val="Normal"/>
    <w:autoRedefine/>
    <w:semiHidden/>
    <w:rsid w:val="00F0316D"/>
    <w:pPr>
      <w:ind w:left="1920"/>
    </w:pPr>
    <w:rPr>
      <w:sz w:val="20"/>
      <w:szCs w:val="20"/>
    </w:rPr>
  </w:style>
  <w:style w:type="paragraph" w:styleId="Legenda">
    <w:name w:val="caption"/>
    <w:aliases w:val="Gráfico, Char Char Char,Char Char Char + Tahoma,8 pt,Centralizado,Depois de:  3 pt + Tahoma,...."/>
    <w:basedOn w:val="Normal"/>
    <w:next w:val="Normal"/>
    <w:link w:val="LegendaChar"/>
    <w:qFormat/>
    <w:rsid w:val="00F0316D"/>
    <w:rPr>
      <w:b/>
      <w:bCs/>
      <w:sz w:val="20"/>
      <w:szCs w:val="20"/>
    </w:rPr>
  </w:style>
  <w:style w:type="character" w:customStyle="1" w:styleId="LegendaChar">
    <w:name w:val="Legenda Char"/>
    <w:aliases w:val="Gráfico Char, Char Char Char Char,Char Char Char + Tahoma Char,8 pt Char,Centralizado Char,Depois de:  3 pt + Tahoma Char,.... Char"/>
    <w:basedOn w:val="Fontepargpadro"/>
    <w:link w:val="Legenda"/>
    <w:rsid w:val="00A13252"/>
    <w:rPr>
      <w:b/>
      <w:bCs/>
      <w:lang w:val="pt-BR" w:eastAsia="pt-BR" w:bidi="ar-SA"/>
    </w:rPr>
  </w:style>
  <w:style w:type="character" w:styleId="HiperlinkVisitado">
    <w:name w:val="FollowedHyperlink"/>
    <w:basedOn w:val="Fontepargpadro"/>
    <w:uiPriority w:val="99"/>
    <w:rsid w:val="00F81FE0"/>
    <w:rPr>
      <w:color w:val="800080"/>
      <w:u w:val="single"/>
    </w:rPr>
  </w:style>
  <w:style w:type="paragraph" w:customStyle="1" w:styleId="corpodotexto0">
    <w:name w:val="corpodotexto"/>
    <w:basedOn w:val="Normal"/>
    <w:rsid w:val="00FB5151"/>
    <w:pPr>
      <w:spacing w:before="240" w:after="240" w:line="360" w:lineRule="atLeast"/>
      <w:ind w:left="284"/>
      <w:jc w:val="both"/>
    </w:pPr>
    <w:rPr>
      <w:rFonts w:ascii="Tahoma" w:eastAsia="Arial Unicode MS" w:hAnsi="Tahoma" w:cs="Tahoma"/>
      <w:sz w:val="22"/>
      <w:szCs w:val="22"/>
      <w:lang w:val="en-US" w:eastAsia="en-US"/>
    </w:rPr>
  </w:style>
  <w:style w:type="character" w:customStyle="1" w:styleId="grame">
    <w:name w:val="grame"/>
    <w:basedOn w:val="Fontepargpadro"/>
    <w:rsid w:val="00FB5151"/>
  </w:style>
  <w:style w:type="paragraph" w:styleId="Textodenotaderodap">
    <w:name w:val="footnote text"/>
    <w:basedOn w:val="Normal"/>
    <w:link w:val="TextodenotaderodapChar"/>
    <w:semiHidden/>
    <w:rsid w:val="00D62331"/>
    <w:rPr>
      <w:sz w:val="20"/>
      <w:szCs w:val="20"/>
    </w:rPr>
  </w:style>
  <w:style w:type="paragraph" w:styleId="MapadoDocumento">
    <w:name w:val="Document Map"/>
    <w:basedOn w:val="Normal"/>
    <w:semiHidden/>
    <w:rsid w:val="00CE2B87"/>
    <w:pPr>
      <w:shd w:val="clear" w:color="auto" w:fill="000080"/>
    </w:pPr>
    <w:rPr>
      <w:rFonts w:ascii="Tahoma" w:hAnsi="Tahoma" w:cs="Tahoma"/>
      <w:sz w:val="20"/>
      <w:szCs w:val="20"/>
    </w:rPr>
  </w:style>
  <w:style w:type="paragraph" w:customStyle="1" w:styleId="Default">
    <w:name w:val="Default"/>
    <w:rsid w:val="00350D3A"/>
    <w:pPr>
      <w:autoSpaceDE w:val="0"/>
      <w:autoSpaceDN w:val="0"/>
      <w:adjustRightInd w:val="0"/>
    </w:pPr>
    <w:rPr>
      <w:color w:val="000000"/>
      <w:sz w:val="24"/>
      <w:szCs w:val="24"/>
    </w:rPr>
  </w:style>
  <w:style w:type="paragraph" w:customStyle="1" w:styleId="TituloA">
    <w:name w:val="Titulo A"/>
    <w:basedOn w:val="Normal"/>
    <w:rsid w:val="004166E8"/>
    <w:pPr>
      <w:numPr>
        <w:numId w:val="23"/>
      </w:numPr>
    </w:pPr>
  </w:style>
  <w:style w:type="paragraph" w:customStyle="1" w:styleId="TtuloB">
    <w:name w:val="Título B"/>
    <w:basedOn w:val="Normal"/>
    <w:rsid w:val="004166E8"/>
    <w:pPr>
      <w:numPr>
        <w:ilvl w:val="1"/>
        <w:numId w:val="23"/>
      </w:numPr>
    </w:pPr>
  </w:style>
  <w:style w:type="paragraph" w:customStyle="1" w:styleId="Normalesquerda0cm">
    <w:name w:val="Normal+ À esquerda:  0 cm"/>
    <w:aliases w:val="Primeira linha:  0 cm,Antes:  5 pt,D..."/>
    <w:basedOn w:val="EstiloTtulo1"/>
    <w:rsid w:val="00E22B45"/>
    <w:pPr>
      <w:numPr>
        <w:numId w:val="0"/>
      </w:numPr>
      <w:spacing w:before="100" w:beforeAutospacing="1" w:after="200"/>
      <w:outlineLvl w:val="0"/>
    </w:pPr>
    <w:rPr>
      <w:rFonts w:ascii="Tahoma" w:hAnsi="Tahoma" w:cs="Tahoma"/>
      <w:b/>
      <w:bCs/>
      <w:sz w:val="22"/>
    </w:rPr>
  </w:style>
  <w:style w:type="paragraph" w:styleId="Textodebalo">
    <w:name w:val="Balloon Text"/>
    <w:basedOn w:val="Normal"/>
    <w:semiHidden/>
    <w:rsid w:val="00605D17"/>
    <w:rPr>
      <w:rFonts w:ascii="Tahoma" w:hAnsi="Tahoma" w:cs="Tahoma"/>
      <w:sz w:val="16"/>
      <w:szCs w:val="16"/>
    </w:rPr>
  </w:style>
  <w:style w:type="character" w:styleId="Refdecomentrio">
    <w:name w:val="annotation reference"/>
    <w:basedOn w:val="Fontepargpadro"/>
    <w:semiHidden/>
    <w:rsid w:val="00DA5593"/>
    <w:rPr>
      <w:sz w:val="16"/>
      <w:szCs w:val="16"/>
    </w:rPr>
  </w:style>
  <w:style w:type="paragraph" w:styleId="Textodecomentrio">
    <w:name w:val="annotation text"/>
    <w:basedOn w:val="Normal"/>
    <w:semiHidden/>
    <w:rsid w:val="00DA5593"/>
    <w:rPr>
      <w:sz w:val="20"/>
      <w:szCs w:val="20"/>
    </w:rPr>
  </w:style>
  <w:style w:type="paragraph" w:styleId="Assuntodocomentrio">
    <w:name w:val="annotation subject"/>
    <w:basedOn w:val="Textodecomentrio"/>
    <w:next w:val="Textodecomentrio"/>
    <w:semiHidden/>
    <w:rsid w:val="00DA5593"/>
    <w:rPr>
      <w:b/>
      <w:bCs/>
    </w:rPr>
  </w:style>
  <w:style w:type="paragraph" w:customStyle="1" w:styleId="EstiloTtulo2Tahoma">
    <w:name w:val="Estilo Título 2 + + Tahoma"/>
    <w:aliases w:val="13 pt,Negrito,Antes:  50 pt,Depois de:  10 pt"/>
    <w:basedOn w:val="EstiloTtulo1"/>
    <w:rsid w:val="00BB0E13"/>
    <w:pPr>
      <w:numPr>
        <w:ilvl w:val="1"/>
        <w:numId w:val="30"/>
      </w:numPr>
      <w:spacing w:before="1000" w:after="200"/>
      <w:outlineLvl w:val="0"/>
    </w:pPr>
    <w:rPr>
      <w:rFonts w:ascii="Tahoma" w:hAnsi="Tahoma" w:cs="Tahoma"/>
      <w:b/>
      <w:sz w:val="26"/>
      <w:szCs w:val="26"/>
    </w:rPr>
  </w:style>
  <w:style w:type="paragraph" w:styleId="PargrafodaLista">
    <w:name w:val="List Paragraph"/>
    <w:basedOn w:val="Normal"/>
    <w:uiPriority w:val="34"/>
    <w:qFormat/>
    <w:rsid w:val="00D32583"/>
    <w:pPr>
      <w:ind w:left="720"/>
      <w:contextualSpacing/>
    </w:pPr>
  </w:style>
  <w:style w:type="paragraph" w:customStyle="1" w:styleId="xl65">
    <w:name w:val="xl65"/>
    <w:basedOn w:val="Normal"/>
    <w:rsid w:val="004B706F"/>
    <w:pPr>
      <w:spacing w:before="100" w:beforeAutospacing="1" w:after="100" w:afterAutospacing="1"/>
      <w:jc w:val="center"/>
    </w:pPr>
  </w:style>
  <w:style w:type="paragraph" w:customStyle="1" w:styleId="xl66">
    <w:name w:val="xl66"/>
    <w:basedOn w:val="Normal"/>
    <w:rsid w:val="004B706F"/>
    <w:pPr>
      <w:pBdr>
        <w:bottom w:val="single" w:sz="4" w:space="0" w:color="auto"/>
        <w:right w:val="single" w:sz="4" w:space="0" w:color="auto"/>
      </w:pBdr>
      <w:spacing w:before="100" w:beforeAutospacing="1" w:after="100" w:afterAutospacing="1"/>
      <w:jc w:val="center"/>
    </w:pPr>
    <w:rPr>
      <w:rFonts w:ascii="Arial" w:hAnsi="Arial"/>
    </w:rPr>
  </w:style>
  <w:style w:type="paragraph" w:customStyle="1" w:styleId="xl67">
    <w:name w:val="xl67"/>
    <w:basedOn w:val="Normal"/>
    <w:rsid w:val="004B706F"/>
    <w:pPr>
      <w:pBdr>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8">
    <w:name w:val="xl68"/>
    <w:basedOn w:val="Normal"/>
    <w:rsid w:val="004B706F"/>
    <w:pPr>
      <w:pBdr>
        <w:left w:val="single" w:sz="4" w:space="0" w:color="auto"/>
        <w:bottom w:val="single" w:sz="4" w:space="0" w:color="auto"/>
      </w:pBdr>
      <w:spacing w:before="100" w:beforeAutospacing="1" w:after="100" w:afterAutospacing="1"/>
      <w:jc w:val="center"/>
    </w:pPr>
    <w:rPr>
      <w:rFonts w:ascii="Arial" w:hAnsi="Arial"/>
    </w:rPr>
  </w:style>
  <w:style w:type="paragraph" w:customStyle="1" w:styleId="xl69">
    <w:name w:val="xl69"/>
    <w:basedOn w:val="Normal"/>
    <w:rsid w:val="004B706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al"/>
    <w:rsid w:val="004B706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rsid w:val="004B706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2">
    <w:name w:val="xl72"/>
    <w:basedOn w:val="Normal"/>
    <w:rsid w:val="004B706F"/>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4B706F"/>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4B70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
    <w:rsid w:val="004B70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4B706F"/>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4B706F"/>
    <w:pPr>
      <w:pBdr>
        <w:top w:val="single" w:sz="4" w:space="0" w:color="auto"/>
        <w:right w:val="single" w:sz="4" w:space="0" w:color="auto"/>
      </w:pBdr>
      <w:spacing w:before="100" w:beforeAutospacing="1" w:after="100" w:afterAutospacing="1"/>
      <w:jc w:val="center"/>
    </w:pPr>
    <w:rPr>
      <w:rFonts w:ascii="Arial" w:hAnsi="Arial" w:cs="Arial"/>
    </w:rPr>
  </w:style>
  <w:style w:type="character" w:customStyle="1" w:styleId="TextodenotaderodapChar">
    <w:name w:val="Texto de nota de rodapé Char"/>
    <w:basedOn w:val="Fontepargpadro"/>
    <w:link w:val="Textodenotaderodap"/>
    <w:semiHidden/>
    <w:rsid w:val="00466A93"/>
  </w:style>
  <w:style w:type="character" w:customStyle="1" w:styleId="CabealhoChar">
    <w:name w:val="Cabeçalho Char"/>
    <w:basedOn w:val="Fontepargpadro"/>
    <w:link w:val="Cabealho"/>
    <w:rsid w:val="00833B11"/>
    <w:rPr>
      <w:rFonts w:ascii="Tahoma" w:hAnsi="Tahoma"/>
      <w:b/>
      <w:color w:val="FFFFFF"/>
      <w:sz w:val="18"/>
      <w:szCs w:val="24"/>
    </w:rPr>
  </w:style>
  <w:style w:type="character" w:customStyle="1" w:styleId="RodapChar">
    <w:name w:val="Rodapé Char"/>
    <w:basedOn w:val="Fontepargpadro"/>
    <w:link w:val="Rodap"/>
    <w:rsid w:val="00833B11"/>
    <w:rPr>
      <w:sz w:val="24"/>
      <w:szCs w:val="24"/>
    </w:rPr>
  </w:style>
  <w:style w:type="paragraph" w:styleId="Reviso">
    <w:name w:val="Revision"/>
    <w:hidden/>
    <w:uiPriority w:val="99"/>
    <w:semiHidden/>
    <w:rsid w:val="000D47D7"/>
    <w:rPr>
      <w:sz w:val="24"/>
      <w:szCs w:val="24"/>
    </w:rPr>
  </w:style>
</w:styles>
</file>

<file path=word/webSettings.xml><?xml version="1.0" encoding="utf-8"?>
<w:webSettings xmlns:r="http://schemas.openxmlformats.org/officeDocument/2006/relationships" xmlns:w="http://schemas.openxmlformats.org/wordprocessingml/2006/main">
  <w:divs>
    <w:div w:id="11342811">
      <w:bodyDiv w:val="1"/>
      <w:marLeft w:val="0"/>
      <w:marRight w:val="0"/>
      <w:marTop w:val="0"/>
      <w:marBottom w:val="0"/>
      <w:divBdr>
        <w:top w:val="none" w:sz="0" w:space="0" w:color="auto"/>
        <w:left w:val="none" w:sz="0" w:space="0" w:color="auto"/>
        <w:bottom w:val="none" w:sz="0" w:space="0" w:color="auto"/>
        <w:right w:val="none" w:sz="0" w:space="0" w:color="auto"/>
      </w:divBdr>
    </w:div>
    <w:div w:id="50543066">
      <w:bodyDiv w:val="1"/>
      <w:marLeft w:val="0"/>
      <w:marRight w:val="0"/>
      <w:marTop w:val="0"/>
      <w:marBottom w:val="0"/>
      <w:divBdr>
        <w:top w:val="none" w:sz="0" w:space="0" w:color="auto"/>
        <w:left w:val="none" w:sz="0" w:space="0" w:color="auto"/>
        <w:bottom w:val="none" w:sz="0" w:space="0" w:color="auto"/>
        <w:right w:val="none" w:sz="0" w:space="0" w:color="auto"/>
      </w:divBdr>
    </w:div>
    <w:div w:id="69348714">
      <w:bodyDiv w:val="1"/>
      <w:marLeft w:val="0"/>
      <w:marRight w:val="0"/>
      <w:marTop w:val="0"/>
      <w:marBottom w:val="0"/>
      <w:divBdr>
        <w:top w:val="none" w:sz="0" w:space="0" w:color="auto"/>
        <w:left w:val="none" w:sz="0" w:space="0" w:color="auto"/>
        <w:bottom w:val="none" w:sz="0" w:space="0" w:color="auto"/>
        <w:right w:val="none" w:sz="0" w:space="0" w:color="auto"/>
      </w:divBdr>
    </w:div>
    <w:div w:id="73167110">
      <w:bodyDiv w:val="1"/>
      <w:marLeft w:val="0"/>
      <w:marRight w:val="0"/>
      <w:marTop w:val="0"/>
      <w:marBottom w:val="0"/>
      <w:divBdr>
        <w:top w:val="none" w:sz="0" w:space="0" w:color="auto"/>
        <w:left w:val="none" w:sz="0" w:space="0" w:color="auto"/>
        <w:bottom w:val="none" w:sz="0" w:space="0" w:color="auto"/>
        <w:right w:val="none" w:sz="0" w:space="0" w:color="auto"/>
      </w:divBdr>
    </w:div>
    <w:div w:id="91171128">
      <w:bodyDiv w:val="1"/>
      <w:marLeft w:val="0"/>
      <w:marRight w:val="0"/>
      <w:marTop w:val="0"/>
      <w:marBottom w:val="0"/>
      <w:divBdr>
        <w:top w:val="none" w:sz="0" w:space="0" w:color="auto"/>
        <w:left w:val="none" w:sz="0" w:space="0" w:color="auto"/>
        <w:bottom w:val="none" w:sz="0" w:space="0" w:color="auto"/>
        <w:right w:val="none" w:sz="0" w:space="0" w:color="auto"/>
      </w:divBdr>
    </w:div>
    <w:div w:id="116026717">
      <w:bodyDiv w:val="1"/>
      <w:marLeft w:val="0"/>
      <w:marRight w:val="0"/>
      <w:marTop w:val="0"/>
      <w:marBottom w:val="0"/>
      <w:divBdr>
        <w:top w:val="none" w:sz="0" w:space="0" w:color="auto"/>
        <w:left w:val="none" w:sz="0" w:space="0" w:color="auto"/>
        <w:bottom w:val="none" w:sz="0" w:space="0" w:color="auto"/>
        <w:right w:val="none" w:sz="0" w:space="0" w:color="auto"/>
      </w:divBdr>
    </w:div>
    <w:div w:id="182482155">
      <w:bodyDiv w:val="1"/>
      <w:marLeft w:val="0"/>
      <w:marRight w:val="0"/>
      <w:marTop w:val="0"/>
      <w:marBottom w:val="0"/>
      <w:divBdr>
        <w:top w:val="none" w:sz="0" w:space="0" w:color="auto"/>
        <w:left w:val="none" w:sz="0" w:space="0" w:color="auto"/>
        <w:bottom w:val="none" w:sz="0" w:space="0" w:color="auto"/>
        <w:right w:val="none" w:sz="0" w:space="0" w:color="auto"/>
      </w:divBdr>
    </w:div>
    <w:div w:id="186219911">
      <w:bodyDiv w:val="1"/>
      <w:marLeft w:val="0"/>
      <w:marRight w:val="0"/>
      <w:marTop w:val="0"/>
      <w:marBottom w:val="0"/>
      <w:divBdr>
        <w:top w:val="none" w:sz="0" w:space="0" w:color="auto"/>
        <w:left w:val="none" w:sz="0" w:space="0" w:color="auto"/>
        <w:bottom w:val="none" w:sz="0" w:space="0" w:color="auto"/>
        <w:right w:val="none" w:sz="0" w:space="0" w:color="auto"/>
      </w:divBdr>
    </w:div>
    <w:div w:id="186725257">
      <w:bodyDiv w:val="1"/>
      <w:marLeft w:val="0"/>
      <w:marRight w:val="0"/>
      <w:marTop w:val="0"/>
      <w:marBottom w:val="0"/>
      <w:divBdr>
        <w:top w:val="none" w:sz="0" w:space="0" w:color="auto"/>
        <w:left w:val="none" w:sz="0" w:space="0" w:color="auto"/>
        <w:bottom w:val="none" w:sz="0" w:space="0" w:color="auto"/>
        <w:right w:val="none" w:sz="0" w:space="0" w:color="auto"/>
      </w:divBdr>
    </w:div>
    <w:div w:id="207423191">
      <w:bodyDiv w:val="1"/>
      <w:marLeft w:val="0"/>
      <w:marRight w:val="0"/>
      <w:marTop w:val="0"/>
      <w:marBottom w:val="0"/>
      <w:divBdr>
        <w:top w:val="none" w:sz="0" w:space="0" w:color="auto"/>
        <w:left w:val="none" w:sz="0" w:space="0" w:color="auto"/>
        <w:bottom w:val="none" w:sz="0" w:space="0" w:color="auto"/>
        <w:right w:val="none" w:sz="0" w:space="0" w:color="auto"/>
      </w:divBdr>
    </w:div>
    <w:div w:id="227307815">
      <w:bodyDiv w:val="1"/>
      <w:marLeft w:val="0"/>
      <w:marRight w:val="0"/>
      <w:marTop w:val="0"/>
      <w:marBottom w:val="0"/>
      <w:divBdr>
        <w:top w:val="none" w:sz="0" w:space="0" w:color="auto"/>
        <w:left w:val="none" w:sz="0" w:space="0" w:color="auto"/>
        <w:bottom w:val="none" w:sz="0" w:space="0" w:color="auto"/>
        <w:right w:val="none" w:sz="0" w:space="0" w:color="auto"/>
      </w:divBdr>
    </w:div>
    <w:div w:id="344552472">
      <w:bodyDiv w:val="1"/>
      <w:marLeft w:val="0"/>
      <w:marRight w:val="0"/>
      <w:marTop w:val="0"/>
      <w:marBottom w:val="0"/>
      <w:divBdr>
        <w:top w:val="none" w:sz="0" w:space="0" w:color="auto"/>
        <w:left w:val="none" w:sz="0" w:space="0" w:color="auto"/>
        <w:bottom w:val="none" w:sz="0" w:space="0" w:color="auto"/>
        <w:right w:val="none" w:sz="0" w:space="0" w:color="auto"/>
      </w:divBdr>
    </w:div>
    <w:div w:id="345443854">
      <w:bodyDiv w:val="1"/>
      <w:marLeft w:val="0"/>
      <w:marRight w:val="0"/>
      <w:marTop w:val="0"/>
      <w:marBottom w:val="0"/>
      <w:divBdr>
        <w:top w:val="none" w:sz="0" w:space="0" w:color="auto"/>
        <w:left w:val="none" w:sz="0" w:space="0" w:color="auto"/>
        <w:bottom w:val="none" w:sz="0" w:space="0" w:color="auto"/>
        <w:right w:val="none" w:sz="0" w:space="0" w:color="auto"/>
      </w:divBdr>
    </w:div>
    <w:div w:id="370958650">
      <w:bodyDiv w:val="1"/>
      <w:marLeft w:val="0"/>
      <w:marRight w:val="0"/>
      <w:marTop w:val="0"/>
      <w:marBottom w:val="0"/>
      <w:divBdr>
        <w:top w:val="none" w:sz="0" w:space="0" w:color="auto"/>
        <w:left w:val="none" w:sz="0" w:space="0" w:color="auto"/>
        <w:bottom w:val="none" w:sz="0" w:space="0" w:color="auto"/>
        <w:right w:val="none" w:sz="0" w:space="0" w:color="auto"/>
      </w:divBdr>
    </w:div>
    <w:div w:id="414938022">
      <w:bodyDiv w:val="1"/>
      <w:marLeft w:val="0"/>
      <w:marRight w:val="0"/>
      <w:marTop w:val="0"/>
      <w:marBottom w:val="0"/>
      <w:divBdr>
        <w:top w:val="none" w:sz="0" w:space="0" w:color="auto"/>
        <w:left w:val="none" w:sz="0" w:space="0" w:color="auto"/>
        <w:bottom w:val="none" w:sz="0" w:space="0" w:color="auto"/>
        <w:right w:val="none" w:sz="0" w:space="0" w:color="auto"/>
      </w:divBdr>
    </w:div>
    <w:div w:id="425929907">
      <w:bodyDiv w:val="1"/>
      <w:marLeft w:val="0"/>
      <w:marRight w:val="0"/>
      <w:marTop w:val="0"/>
      <w:marBottom w:val="0"/>
      <w:divBdr>
        <w:top w:val="none" w:sz="0" w:space="0" w:color="auto"/>
        <w:left w:val="none" w:sz="0" w:space="0" w:color="auto"/>
        <w:bottom w:val="none" w:sz="0" w:space="0" w:color="auto"/>
        <w:right w:val="none" w:sz="0" w:space="0" w:color="auto"/>
      </w:divBdr>
    </w:div>
    <w:div w:id="433400023">
      <w:bodyDiv w:val="1"/>
      <w:marLeft w:val="0"/>
      <w:marRight w:val="0"/>
      <w:marTop w:val="0"/>
      <w:marBottom w:val="0"/>
      <w:divBdr>
        <w:top w:val="none" w:sz="0" w:space="0" w:color="auto"/>
        <w:left w:val="none" w:sz="0" w:space="0" w:color="auto"/>
        <w:bottom w:val="none" w:sz="0" w:space="0" w:color="auto"/>
        <w:right w:val="none" w:sz="0" w:space="0" w:color="auto"/>
      </w:divBdr>
    </w:div>
    <w:div w:id="452018839">
      <w:bodyDiv w:val="1"/>
      <w:marLeft w:val="0"/>
      <w:marRight w:val="0"/>
      <w:marTop w:val="0"/>
      <w:marBottom w:val="0"/>
      <w:divBdr>
        <w:top w:val="none" w:sz="0" w:space="0" w:color="auto"/>
        <w:left w:val="none" w:sz="0" w:space="0" w:color="auto"/>
        <w:bottom w:val="none" w:sz="0" w:space="0" w:color="auto"/>
        <w:right w:val="none" w:sz="0" w:space="0" w:color="auto"/>
      </w:divBdr>
    </w:div>
    <w:div w:id="461387927">
      <w:bodyDiv w:val="1"/>
      <w:marLeft w:val="0"/>
      <w:marRight w:val="0"/>
      <w:marTop w:val="0"/>
      <w:marBottom w:val="0"/>
      <w:divBdr>
        <w:top w:val="none" w:sz="0" w:space="0" w:color="auto"/>
        <w:left w:val="none" w:sz="0" w:space="0" w:color="auto"/>
        <w:bottom w:val="none" w:sz="0" w:space="0" w:color="auto"/>
        <w:right w:val="none" w:sz="0" w:space="0" w:color="auto"/>
      </w:divBdr>
    </w:div>
    <w:div w:id="475145888">
      <w:bodyDiv w:val="1"/>
      <w:marLeft w:val="0"/>
      <w:marRight w:val="0"/>
      <w:marTop w:val="0"/>
      <w:marBottom w:val="0"/>
      <w:divBdr>
        <w:top w:val="none" w:sz="0" w:space="0" w:color="auto"/>
        <w:left w:val="none" w:sz="0" w:space="0" w:color="auto"/>
        <w:bottom w:val="none" w:sz="0" w:space="0" w:color="auto"/>
        <w:right w:val="none" w:sz="0" w:space="0" w:color="auto"/>
      </w:divBdr>
    </w:div>
    <w:div w:id="487747589">
      <w:bodyDiv w:val="1"/>
      <w:marLeft w:val="0"/>
      <w:marRight w:val="0"/>
      <w:marTop w:val="0"/>
      <w:marBottom w:val="0"/>
      <w:divBdr>
        <w:top w:val="none" w:sz="0" w:space="0" w:color="auto"/>
        <w:left w:val="none" w:sz="0" w:space="0" w:color="auto"/>
        <w:bottom w:val="none" w:sz="0" w:space="0" w:color="auto"/>
        <w:right w:val="none" w:sz="0" w:space="0" w:color="auto"/>
      </w:divBdr>
    </w:div>
    <w:div w:id="494806813">
      <w:bodyDiv w:val="1"/>
      <w:marLeft w:val="0"/>
      <w:marRight w:val="0"/>
      <w:marTop w:val="0"/>
      <w:marBottom w:val="0"/>
      <w:divBdr>
        <w:top w:val="none" w:sz="0" w:space="0" w:color="auto"/>
        <w:left w:val="none" w:sz="0" w:space="0" w:color="auto"/>
        <w:bottom w:val="none" w:sz="0" w:space="0" w:color="auto"/>
        <w:right w:val="none" w:sz="0" w:space="0" w:color="auto"/>
      </w:divBdr>
    </w:div>
    <w:div w:id="505168121">
      <w:bodyDiv w:val="1"/>
      <w:marLeft w:val="0"/>
      <w:marRight w:val="0"/>
      <w:marTop w:val="0"/>
      <w:marBottom w:val="0"/>
      <w:divBdr>
        <w:top w:val="none" w:sz="0" w:space="0" w:color="auto"/>
        <w:left w:val="none" w:sz="0" w:space="0" w:color="auto"/>
        <w:bottom w:val="none" w:sz="0" w:space="0" w:color="auto"/>
        <w:right w:val="none" w:sz="0" w:space="0" w:color="auto"/>
      </w:divBdr>
    </w:div>
    <w:div w:id="542328871">
      <w:bodyDiv w:val="1"/>
      <w:marLeft w:val="0"/>
      <w:marRight w:val="0"/>
      <w:marTop w:val="0"/>
      <w:marBottom w:val="0"/>
      <w:divBdr>
        <w:top w:val="none" w:sz="0" w:space="0" w:color="auto"/>
        <w:left w:val="none" w:sz="0" w:space="0" w:color="auto"/>
        <w:bottom w:val="none" w:sz="0" w:space="0" w:color="auto"/>
        <w:right w:val="none" w:sz="0" w:space="0" w:color="auto"/>
      </w:divBdr>
    </w:div>
    <w:div w:id="575634217">
      <w:bodyDiv w:val="1"/>
      <w:marLeft w:val="0"/>
      <w:marRight w:val="0"/>
      <w:marTop w:val="0"/>
      <w:marBottom w:val="0"/>
      <w:divBdr>
        <w:top w:val="none" w:sz="0" w:space="0" w:color="auto"/>
        <w:left w:val="none" w:sz="0" w:space="0" w:color="auto"/>
        <w:bottom w:val="none" w:sz="0" w:space="0" w:color="auto"/>
        <w:right w:val="none" w:sz="0" w:space="0" w:color="auto"/>
      </w:divBdr>
    </w:div>
    <w:div w:id="592400070">
      <w:bodyDiv w:val="1"/>
      <w:marLeft w:val="0"/>
      <w:marRight w:val="0"/>
      <w:marTop w:val="0"/>
      <w:marBottom w:val="0"/>
      <w:divBdr>
        <w:top w:val="none" w:sz="0" w:space="0" w:color="auto"/>
        <w:left w:val="none" w:sz="0" w:space="0" w:color="auto"/>
        <w:bottom w:val="none" w:sz="0" w:space="0" w:color="auto"/>
        <w:right w:val="none" w:sz="0" w:space="0" w:color="auto"/>
      </w:divBdr>
    </w:div>
    <w:div w:id="631135955">
      <w:bodyDiv w:val="1"/>
      <w:marLeft w:val="0"/>
      <w:marRight w:val="0"/>
      <w:marTop w:val="0"/>
      <w:marBottom w:val="0"/>
      <w:divBdr>
        <w:top w:val="none" w:sz="0" w:space="0" w:color="auto"/>
        <w:left w:val="none" w:sz="0" w:space="0" w:color="auto"/>
        <w:bottom w:val="none" w:sz="0" w:space="0" w:color="auto"/>
        <w:right w:val="none" w:sz="0" w:space="0" w:color="auto"/>
      </w:divBdr>
    </w:div>
    <w:div w:id="656303458">
      <w:bodyDiv w:val="1"/>
      <w:marLeft w:val="0"/>
      <w:marRight w:val="0"/>
      <w:marTop w:val="0"/>
      <w:marBottom w:val="0"/>
      <w:divBdr>
        <w:top w:val="none" w:sz="0" w:space="0" w:color="auto"/>
        <w:left w:val="none" w:sz="0" w:space="0" w:color="auto"/>
        <w:bottom w:val="none" w:sz="0" w:space="0" w:color="auto"/>
        <w:right w:val="none" w:sz="0" w:space="0" w:color="auto"/>
      </w:divBdr>
    </w:div>
    <w:div w:id="671035046">
      <w:bodyDiv w:val="1"/>
      <w:marLeft w:val="0"/>
      <w:marRight w:val="0"/>
      <w:marTop w:val="0"/>
      <w:marBottom w:val="0"/>
      <w:divBdr>
        <w:top w:val="none" w:sz="0" w:space="0" w:color="auto"/>
        <w:left w:val="none" w:sz="0" w:space="0" w:color="auto"/>
        <w:bottom w:val="none" w:sz="0" w:space="0" w:color="auto"/>
        <w:right w:val="none" w:sz="0" w:space="0" w:color="auto"/>
      </w:divBdr>
    </w:div>
    <w:div w:id="731930317">
      <w:bodyDiv w:val="1"/>
      <w:marLeft w:val="0"/>
      <w:marRight w:val="0"/>
      <w:marTop w:val="0"/>
      <w:marBottom w:val="0"/>
      <w:divBdr>
        <w:top w:val="none" w:sz="0" w:space="0" w:color="auto"/>
        <w:left w:val="none" w:sz="0" w:space="0" w:color="auto"/>
        <w:bottom w:val="none" w:sz="0" w:space="0" w:color="auto"/>
        <w:right w:val="none" w:sz="0" w:space="0" w:color="auto"/>
      </w:divBdr>
    </w:div>
    <w:div w:id="804355631">
      <w:bodyDiv w:val="1"/>
      <w:marLeft w:val="0"/>
      <w:marRight w:val="0"/>
      <w:marTop w:val="0"/>
      <w:marBottom w:val="0"/>
      <w:divBdr>
        <w:top w:val="none" w:sz="0" w:space="0" w:color="auto"/>
        <w:left w:val="none" w:sz="0" w:space="0" w:color="auto"/>
        <w:bottom w:val="none" w:sz="0" w:space="0" w:color="auto"/>
        <w:right w:val="none" w:sz="0" w:space="0" w:color="auto"/>
      </w:divBdr>
    </w:div>
    <w:div w:id="820268531">
      <w:bodyDiv w:val="1"/>
      <w:marLeft w:val="0"/>
      <w:marRight w:val="0"/>
      <w:marTop w:val="0"/>
      <w:marBottom w:val="0"/>
      <w:divBdr>
        <w:top w:val="none" w:sz="0" w:space="0" w:color="auto"/>
        <w:left w:val="none" w:sz="0" w:space="0" w:color="auto"/>
        <w:bottom w:val="none" w:sz="0" w:space="0" w:color="auto"/>
        <w:right w:val="none" w:sz="0" w:space="0" w:color="auto"/>
      </w:divBdr>
    </w:div>
    <w:div w:id="825903590">
      <w:bodyDiv w:val="1"/>
      <w:marLeft w:val="0"/>
      <w:marRight w:val="0"/>
      <w:marTop w:val="0"/>
      <w:marBottom w:val="0"/>
      <w:divBdr>
        <w:top w:val="none" w:sz="0" w:space="0" w:color="auto"/>
        <w:left w:val="none" w:sz="0" w:space="0" w:color="auto"/>
        <w:bottom w:val="none" w:sz="0" w:space="0" w:color="auto"/>
        <w:right w:val="none" w:sz="0" w:space="0" w:color="auto"/>
      </w:divBdr>
    </w:div>
    <w:div w:id="846601821">
      <w:bodyDiv w:val="1"/>
      <w:marLeft w:val="0"/>
      <w:marRight w:val="0"/>
      <w:marTop w:val="0"/>
      <w:marBottom w:val="0"/>
      <w:divBdr>
        <w:top w:val="none" w:sz="0" w:space="0" w:color="auto"/>
        <w:left w:val="none" w:sz="0" w:space="0" w:color="auto"/>
        <w:bottom w:val="none" w:sz="0" w:space="0" w:color="auto"/>
        <w:right w:val="none" w:sz="0" w:space="0" w:color="auto"/>
      </w:divBdr>
    </w:div>
    <w:div w:id="869955604">
      <w:bodyDiv w:val="1"/>
      <w:marLeft w:val="0"/>
      <w:marRight w:val="0"/>
      <w:marTop w:val="0"/>
      <w:marBottom w:val="0"/>
      <w:divBdr>
        <w:top w:val="none" w:sz="0" w:space="0" w:color="auto"/>
        <w:left w:val="none" w:sz="0" w:space="0" w:color="auto"/>
        <w:bottom w:val="none" w:sz="0" w:space="0" w:color="auto"/>
        <w:right w:val="none" w:sz="0" w:space="0" w:color="auto"/>
      </w:divBdr>
    </w:div>
    <w:div w:id="871069442">
      <w:bodyDiv w:val="1"/>
      <w:marLeft w:val="0"/>
      <w:marRight w:val="0"/>
      <w:marTop w:val="0"/>
      <w:marBottom w:val="0"/>
      <w:divBdr>
        <w:top w:val="none" w:sz="0" w:space="0" w:color="auto"/>
        <w:left w:val="none" w:sz="0" w:space="0" w:color="auto"/>
        <w:bottom w:val="none" w:sz="0" w:space="0" w:color="auto"/>
        <w:right w:val="none" w:sz="0" w:space="0" w:color="auto"/>
      </w:divBdr>
    </w:div>
    <w:div w:id="873544813">
      <w:bodyDiv w:val="1"/>
      <w:marLeft w:val="0"/>
      <w:marRight w:val="0"/>
      <w:marTop w:val="0"/>
      <w:marBottom w:val="0"/>
      <w:divBdr>
        <w:top w:val="none" w:sz="0" w:space="0" w:color="auto"/>
        <w:left w:val="none" w:sz="0" w:space="0" w:color="auto"/>
        <w:bottom w:val="none" w:sz="0" w:space="0" w:color="auto"/>
        <w:right w:val="none" w:sz="0" w:space="0" w:color="auto"/>
      </w:divBdr>
    </w:div>
    <w:div w:id="916521264">
      <w:bodyDiv w:val="1"/>
      <w:marLeft w:val="0"/>
      <w:marRight w:val="0"/>
      <w:marTop w:val="0"/>
      <w:marBottom w:val="0"/>
      <w:divBdr>
        <w:top w:val="none" w:sz="0" w:space="0" w:color="auto"/>
        <w:left w:val="none" w:sz="0" w:space="0" w:color="auto"/>
        <w:bottom w:val="none" w:sz="0" w:space="0" w:color="auto"/>
        <w:right w:val="none" w:sz="0" w:space="0" w:color="auto"/>
      </w:divBdr>
    </w:div>
    <w:div w:id="919800295">
      <w:bodyDiv w:val="1"/>
      <w:marLeft w:val="0"/>
      <w:marRight w:val="0"/>
      <w:marTop w:val="0"/>
      <w:marBottom w:val="0"/>
      <w:divBdr>
        <w:top w:val="none" w:sz="0" w:space="0" w:color="auto"/>
        <w:left w:val="none" w:sz="0" w:space="0" w:color="auto"/>
        <w:bottom w:val="none" w:sz="0" w:space="0" w:color="auto"/>
        <w:right w:val="none" w:sz="0" w:space="0" w:color="auto"/>
      </w:divBdr>
    </w:div>
    <w:div w:id="952901836">
      <w:bodyDiv w:val="1"/>
      <w:marLeft w:val="0"/>
      <w:marRight w:val="0"/>
      <w:marTop w:val="0"/>
      <w:marBottom w:val="0"/>
      <w:divBdr>
        <w:top w:val="none" w:sz="0" w:space="0" w:color="auto"/>
        <w:left w:val="none" w:sz="0" w:space="0" w:color="auto"/>
        <w:bottom w:val="none" w:sz="0" w:space="0" w:color="auto"/>
        <w:right w:val="none" w:sz="0" w:space="0" w:color="auto"/>
      </w:divBdr>
    </w:div>
    <w:div w:id="988441962">
      <w:bodyDiv w:val="1"/>
      <w:marLeft w:val="0"/>
      <w:marRight w:val="0"/>
      <w:marTop w:val="0"/>
      <w:marBottom w:val="0"/>
      <w:divBdr>
        <w:top w:val="none" w:sz="0" w:space="0" w:color="auto"/>
        <w:left w:val="none" w:sz="0" w:space="0" w:color="auto"/>
        <w:bottom w:val="none" w:sz="0" w:space="0" w:color="auto"/>
        <w:right w:val="none" w:sz="0" w:space="0" w:color="auto"/>
      </w:divBdr>
    </w:div>
    <w:div w:id="994719577">
      <w:bodyDiv w:val="1"/>
      <w:marLeft w:val="0"/>
      <w:marRight w:val="0"/>
      <w:marTop w:val="0"/>
      <w:marBottom w:val="0"/>
      <w:divBdr>
        <w:top w:val="none" w:sz="0" w:space="0" w:color="auto"/>
        <w:left w:val="none" w:sz="0" w:space="0" w:color="auto"/>
        <w:bottom w:val="none" w:sz="0" w:space="0" w:color="auto"/>
        <w:right w:val="none" w:sz="0" w:space="0" w:color="auto"/>
      </w:divBdr>
    </w:div>
    <w:div w:id="1020818978">
      <w:bodyDiv w:val="1"/>
      <w:marLeft w:val="0"/>
      <w:marRight w:val="0"/>
      <w:marTop w:val="0"/>
      <w:marBottom w:val="0"/>
      <w:divBdr>
        <w:top w:val="none" w:sz="0" w:space="0" w:color="auto"/>
        <w:left w:val="none" w:sz="0" w:space="0" w:color="auto"/>
        <w:bottom w:val="none" w:sz="0" w:space="0" w:color="auto"/>
        <w:right w:val="none" w:sz="0" w:space="0" w:color="auto"/>
      </w:divBdr>
    </w:div>
    <w:div w:id="1027636939">
      <w:bodyDiv w:val="1"/>
      <w:marLeft w:val="0"/>
      <w:marRight w:val="0"/>
      <w:marTop w:val="0"/>
      <w:marBottom w:val="0"/>
      <w:divBdr>
        <w:top w:val="none" w:sz="0" w:space="0" w:color="auto"/>
        <w:left w:val="none" w:sz="0" w:space="0" w:color="auto"/>
        <w:bottom w:val="none" w:sz="0" w:space="0" w:color="auto"/>
        <w:right w:val="none" w:sz="0" w:space="0" w:color="auto"/>
      </w:divBdr>
    </w:div>
    <w:div w:id="1057046141">
      <w:bodyDiv w:val="1"/>
      <w:marLeft w:val="0"/>
      <w:marRight w:val="0"/>
      <w:marTop w:val="0"/>
      <w:marBottom w:val="0"/>
      <w:divBdr>
        <w:top w:val="none" w:sz="0" w:space="0" w:color="auto"/>
        <w:left w:val="none" w:sz="0" w:space="0" w:color="auto"/>
        <w:bottom w:val="none" w:sz="0" w:space="0" w:color="auto"/>
        <w:right w:val="none" w:sz="0" w:space="0" w:color="auto"/>
      </w:divBdr>
    </w:div>
    <w:div w:id="1067462089">
      <w:bodyDiv w:val="1"/>
      <w:marLeft w:val="0"/>
      <w:marRight w:val="0"/>
      <w:marTop w:val="0"/>
      <w:marBottom w:val="0"/>
      <w:divBdr>
        <w:top w:val="none" w:sz="0" w:space="0" w:color="auto"/>
        <w:left w:val="none" w:sz="0" w:space="0" w:color="auto"/>
        <w:bottom w:val="none" w:sz="0" w:space="0" w:color="auto"/>
        <w:right w:val="none" w:sz="0" w:space="0" w:color="auto"/>
      </w:divBdr>
    </w:div>
    <w:div w:id="1079326479">
      <w:bodyDiv w:val="1"/>
      <w:marLeft w:val="0"/>
      <w:marRight w:val="0"/>
      <w:marTop w:val="0"/>
      <w:marBottom w:val="0"/>
      <w:divBdr>
        <w:top w:val="none" w:sz="0" w:space="0" w:color="auto"/>
        <w:left w:val="none" w:sz="0" w:space="0" w:color="auto"/>
        <w:bottom w:val="none" w:sz="0" w:space="0" w:color="auto"/>
        <w:right w:val="none" w:sz="0" w:space="0" w:color="auto"/>
      </w:divBdr>
    </w:div>
    <w:div w:id="1140465403">
      <w:bodyDiv w:val="1"/>
      <w:marLeft w:val="0"/>
      <w:marRight w:val="0"/>
      <w:marTop w:val="0"/>
      <w:marBottom w:val="0"/>
      <w:divBdr>
        <w:top w:val="none" w:sz="0" w:space="0" w:color="auto"/>
        <w:left w:val="none" w:sz="0" w:space="0" w:color="auto"/>
        <w:bottom w:val="none" w:sz="0" w:space="0" w:color="auto"/>
        <w:right w:val="none" w:sz="0" w:space="0" w:color="auto"/>
      </w:divBdr>
    </w:div>
    <w:div w:id="1145852678">
      <w:bodyDiv w:val="1"/>
      <w:marLeft w:val="0"/>
      <w:marRight w:val="0"/>
      <w:marTop w:val="0"/>
      <w:marBottom w:val="0"/>
      <w:divBdr>
        <w:top w:val="none" w:sz="0" w:space="0" w:color="auto"/>
        <w:left w:val="none" w:sz="0" w:space="0" w:color="auto"/>
        <w:bottom w:val="none" w:sz="0" w:space="0" w:color="auto"/>
        <w:right w:val="none" w:sz="0" w:space="0" w:color="auto"/>
      </w:divBdr>
    </w:div>
    <w:div w:id="1176651076">
      <w:bodyDiv w:val="1"/>
      <w:marLeft w:val="0"/>
      <w:marRight w:val="0"/>
      <w:marTop w:val="0"/>
      <w:marBottom w:val="0"/>
      <w:divBdr>
        <w:top w:val="none" w:sz="0" w:space="0" w:color="auto"/>
        <w:left w:val="none" w:sz="0" w:space="0" w:color="auto"/>
        <w:bottom w:val="none" w:sz="0" w:space="0" w:color="auto"/>
        <w:right w:val="none" w:sz="0" w:space="0" w:color="auto"/>
      </w:divBdr>
    </w:div>
    <w:div w:id="1203901999">
      <w:bodyDiv w:val="1"/>
      <w:marLeft w:val="0"/>
      <w:marRight w:val="0"/>
      <w:marTop w:val="0"/>
      <w:marBottom w:val="0"/>
      <w:divBdr>
        <w:top w:val="none" w:sz="0" w:space="0" w:color="auto"/>
        <w:left w:val="none" w:sz="0" w:space="0" w:color="auto"/>
        <w:bottom w:val="none" w:sz="0" w:space="0" w:color="auto"/>
        <w:right w:val="none" w:sz="0" w:space="0" w:color="auto"/>
      </w:divBdr>
    </w:div>
    <w:div w:id="1225525683">
      <w:bodyDiv w:val="1"/>
      <w:marLeft w:val="0"/>
      <w:marRight w:val="0"/>
      <w:marTop w:val="0"/>
      <w:marBottom w:val="0"/>
      <w:divBdr>
        <w:top w:val="none" w:sz="0" w:space="0" w:color="auto"/>
        <w:left w:val="none" w:sz="0" w:space="0" w:color="auto"/>
        <w:bottom w:val="none" w:sz="0" w:space="0" w:color="auto"/>
        <w:right w:val="none" w:sz="0" w:space="0" w:color="auto"/>
      </w:divBdr>
    </w:div>
    <w:div w:id="1275557431">
      <w:bodyDiv w:val="1"/>
      <w:marLeft w:val="0"/>
      <w:marRight w:val="0"/>
      <w:marTop w:val="0"/>
      <w:marBottom w:val="0"/>
      <w:divBdr>
        <w:top w:val="none" w:sz="0" w:space="0" w:color="auto"/>
        <w:left w:val="none" w:sz="0" w:space="0" w:color="auto"/>
        <w:bottom w:val="none" w:sz="0" w:space="0" w:color="auto"/>
        <w:right w:val="none" w:sz="0" w:space="0" w:color="auto"/>
      </w:divBdr>
    </w:div>
    <w:div w:id="1285379673">
      <w:bodyDiv w:val="1"/>
      <w:marLeft w:val="0"/>
      <w:marRight w:val="0"/>
      <w:marTop w:val="0"/>
      <w:marBottom w:val="0"/>
      <w:divBdr>
        <w:top w:val="none" w:sz="0" w:space="0" w:color="auto"/>
        <w:left w:val="none" w:sz="0" w:space="0" w:color="auto"/>
        <w:bottom w:val="none" w:sz="0" w:space="0" w:color="auto"/>
        <w:right w:val="none" w:sz="0" w:space="0" w:color="auto"/>
      </w:divBdr>
    </w:div>
    <w:div w:id="1308364236">
      <w:bodyDiv w:val="1"/>
      <w:marLeft w:val="0"/>
      <w:marRight w:val="0"/>
      <w:marTop w:val="0"/>
      <w:marBottom w:val="0"/>
      <w:divBdr>
        <w:top w:val="none" w:sz="0" w:space="0" w:color="auto"/>
        <w:left w:val="none" w:sz="0" w:space="0" w:color="auto"/>
        <w:bottom w:val="none" w:sz="0" w:space="0" w:color="auto"/>
        <w:right w:val="none" w:sz="0" w:space="0" w:color="auto"/>
      </w:divBdr>
    </w:div>
    <w:div w:id="1350257528">
      <w:bodyDiv w:val="1"/>
      <w:marLeft w:val="0"/>
      <w:marRight w:val="0"/>
      <w:marTop w:val="0"/>
      <w:marBottom w:val="0"/>
      <w:divBdr>
        <w:top w:val="none" w:sz="0" w:space="0" w:color="auto"/>
        <w:left w:val="none" w:sz="0" w:space="0" w:color="auto"/>
        <w:bottom w:val="none" w:sz="0" w:space="0" w:color="auto"/>
        <w:right w:val="none" w:sz="0" w:space="0" w:color="auto"/>
      </w:divBdr>
    </w:div>
    <w:div w:id="1358197495">
      <w:bodyDiv w:val="1"/>
      <w:marLeft w:val="0"/>
      <w:marRight w:val="0"/>
      <w:marTop w:val="0"/>
      <w:marBottom w:val="0"/>
      <w:divBdr>
        <w:top w:val="none" w:sz="0" w:space="0" w:color="auto"/>
        <w:left w:val="none" w:sz="0" w:space="0" w:color="auto"/>
        <w:bottom w:val="none" w:sz="0" w:space="0" w:color="auto"/>
        <w:right w:val="none" w:sz="0" w:space="0" w:color="auto"/>
      </w:divBdr>
    </w:div>
    <w:div w:id="1378120052">
      <w:bodyDiv w:val="1"/>
      <w:marLeft w:val="0"/>
      <w:marRight w:val="0"/>
      <w:marTop w:val="0"/>
      <w:marBottom w:val="0"/>
      <w:divBdr>
        <w:top w:val="none" w:sz="0" w:space="0" w:color="auto"/>
        <w:left w:val="none" w:sz="0" w:space="0" w:color="auto"/>
        <w:bottom w:val="none" w:sz="0" w:space="0" w:color="auto"/>
        <w:right w:val="none" w:sz="0" w:space="0" w:color="auto"/>
      </w:divBdr>
    </w:div>
    <w:div w:id="1379933800">
      <w:bodyDiv w:val="1"/>
      <w:marLeft w:val="0"/>
      <w:marRight w:val="0"/>
      <w:marTop w:val="0"/>
      <w:marBottom w:val="0"/>
      <w:divBdr>
        <w:top w:val="none" w:sz="0" w:space="0" w:color="auto"/>
        <w:left w:val="none" w:sz="0" w:space="0" w:color="auto"/>
        <w:bottom w:val="none" w:sz="0" w:space="0" w:color="auto"/>
        <w:right w:val="none" w:sz="0" w:space="0" w:color="auto"/>
      </w:divBdr>
    </w:div>
    <w:div w:id="1397119450">
      <w:bodyDiv w:val="1"/>
      <w:marLeft w:val="0"/>
      <w:marRight w:val="0"/>
      <w:marTop w:val="0"/>
      <w:marBottom w:val="0"/>
      <w:divBdr>
        <w:top w:val="none" w:sz="0" w:space="0" w:color="auto"/>
        <w:left w:val="none" w:sz="0" w:space="0" w:color="auto"/>
        <w:bottom w:val="none" w:sz="0" w:space="0" w:color="auto"/>
        <w:right w:val="none" w:sz="0" w:space="0" w:color="auto"/>
      </w:divBdr>
    </w:div>
    <w:div w:id="1413351783">
      <w:bodyDiv w:val="1"/>
      <w:marLeft w:val="0"/>
      <w:marRight w:val="0"/>
      <w:marTop w:val="0"/>
      <w:marBottom w:val="0"/>
      <w:divBdr>
        <w:top w:val="none" w:sz="0" w:space="0" w:color="auto"/>
        <w:left w:val="none" w:sz="0" w:space="0" w:color="auto"/>
        <w:bottom w:val="none" w:sz="0" w:space="0" w:color="auto"/>
        <w:right w:val="none" w:sz="0" w:space="0" w:color="auto"/>
      </w:divBdr>
    </w:div>
    <w:div w:id="1414858052">
      <w:bodyDiv w:val="1"/>
      <w:marLeft w:val="0"/>
      <w:marRight w:val="0"/>
      <w:marTop w:val="0"/>
      <w:marBottom w:val="0"/>
      <w:divBdr>
        <w:top w:val="none" w:sz="0" w:space="0" w:color="auto"/>
        <w:left w:val="none" w:sz="0" w:space="0" w:color="auto"/>
        <w:bottom w:val="none" w:sz="0" w:space="0" w:color="auto"/>
        <w:right w:val="none" w:sz="0" w:space="0" w:color="auto"/>
      </w:divBdr>
    </w:div>
    <w:div w:id="1416628031">
      <w:bodyDiv w:val="1"/>
      <w:marLeft w:val="0"/>
      <w:marRight w:val="0"/>
      <w:marTop w:val="0"/>
      <w:marBottom w:val="0"/>
      <w:divBdr>
        <w:top w:val="none" w:sz="0" w:space="0" w:color="auto"/>
        <w:left w:val="none" w:sz="0" w:space="0" w:color="auto"/>
        <w:bottom w:val="none" w:sz="0" w:space="0" w:color="auto"/>
        <w:right w:val="none" w:sz="0" w:space="0" w:color="auto"/>
      </w:divBdr>
    </w:div>
    <w:div w:id="1479499469">
      <w:bodyDiv w:val="1"/>
      <w:marLeft w:val="0"/>
      <w:marRight w:val="0"/>
      <w:marTop w:val="0"/>
      <w:marBottom w:val="0"/>
      <w:divBdr>
        <w:top w:val="none" w:sz="0" w:space="0" w:color="auto"/>
        <w:left w:val="none" w:sz="0" w:space="0" w:color="auto"/>
        <w:bottom w:val="none" w:sz="0" w:space="0" w:color="auto"/>
        <w:right w:val="none" w:sz="0" w:space="0" w:color="auto"/>
      </w:divBdr>
    </w:div>
    <w:div w:id="1493642289">
      <w:bodyDiv w:val="1"/>
      <w:marLeft w:val="0"/>
      <w:marRight w:val="0"/>
      <w:marTop w:val="0"/>
      <w:marBottom w:val="0"/>
      <w:divBdr>
        <w:top w:val="none" w:sz="0" w:space="0" w:color="auto"/>
        <w:left w:val="none" w:sz="0" w:space="0" w:color="auto"/>
        <w:bottom w:val="none" w:sz="0" w:space="0" w:color="auto"/>
        <w:right w:val="none" w:sz="0" w:space="0" w:color="auto"/>
      </w:divBdr>
    </w:div>
    <w:div w:id="1503542688">
      <w:bodyDiv w:val="1"/>
      <w:marLeft w:val="0"/>
      <w:marRight w:val="0"/>
      <w:marTop w:val="0"/>
      <w:marBottom w:val="0"/>
      <w:divBdr>
        <w:top w:val="none" w:sz="0" w:space="0" w:color="auto"/>
        <w:left w:val="none" w:sz="0" w:space="0" w:color="auto"/>
        <w:bottom w:val="none" w:sz="0" w:space="0" w:color="auto"/>
        <w:right w:val="none" w:sz="0" w:space="0" w:color="auto"/>
      </w:divBdr>
    </w:div>
    <w:div w:id="1515919933">
      <w:bodyDiv w:val="1"/>
      <w:marLeft w:val="0"/>
      <w:marRight w:val="0"/>
      <w:marTop w:val="0"/>
      <w:marBottom w:val="0"/>
      <w:divBdr>
        <w:top w:val="none" w:sz="0" w:space="0" w:color="auto"/>
        <w:left w:val="none" w:sz="0" w:space="0" w:color="auto"/>
        <w:bottom w:val="none" w:sz="0" w:space="0" w:color="auto"/>
        <w:right w:val="none" w:sz="0" w:space="0" w:color="auto"/>
      </w:divBdr>
    </w:div>
    <w:div w:id="1528759156">
      <w:bodyDiv w:val="1"/>
      <w:marLeft w:val="0"/>
      <w:marRight w:val="0"/>
      <w:marTop w:val="0"/>
      <w:marBottom w:val="0"/>
      <w:divBdr>
        <w:top w:val="none" w:sz="0" w:space="0" w:color="auto"/>
        <w:left w:val="none" w:sz="0" w:space="0" w:color="auto"/>
        <w:bottom w:val="none" w:sz="0" w:space="0" w:color="auto"/>
        <w:right w:val="none" w:sz="0" w:space="0" w:color="auto"/>
      </w:divBdr>
    </w:div>
    <w:div w:id="1529223806">
      <w:bodyDiv w:val="1"/>
      <w:marLeft w:val="0"/>
      <w:marRight w:val="0"/>
      <w:marTop w:val="0"/>
      <w:marBottom w:val="0"/>
      <w:divBdr>
        <w:top w:val="none" w:sz="0" w:space="0" w:color="auto"/>
        <w:left w:val="none" w:sz="0" w:space="0" w:color="auto"/>
        <w:bottom w:val="none" w:sz="0" w:space="0" w:color="auto"/>
        <w:right w:val="none" w:sz="0" w:space="0" w:color="auto"/>
      </w:divBdr>
    </w:div>
    <w:div w:id="1530952712">
      <w:bodyDiv w:val="1"/>
      <w:marLeft w:val="0"/>
      <w:marRight w:val="0"/>
      <w:marTop w:val="0"/>
      <w:marBottom w:val="0"/>
      <w:divBdr>
        <w:top w:val="none" w:sz="0" w:space="0" w:color="auto"/>
        <w:left w:val="none" w:sz="0" w:space="0" w:color="auto"/>
        <w:bottom w:val="none" w:sz="0" w:space="0" w:color="auto"/>
        <w:right w:val="none" w:sz="0" w:space="0" w:color="auto"/>
      </w:divBdr>
    </w:div>
    <w:div w:id="1558055251">
      <w:bodyDiv w:val="1"/>
      <w:marLeft w:val="0"/>
      <w:marRight w:val="0"/>
      <w:marTop w:val="0"/>
      <w:marBottom w:val="0"/>
      <w:divBdr>
        <w:top w:val="none" w:sz="0" w:space="0" w:color="auto"/>
        <w:left w:val="none" w:sz="0" w:space="0" w:color="auto"/>
        <w:bottom w:val="none" w:sz="0" w:space="0" w:color="auto"/>
        <w:right w:val="none" w:sz="0" w:space="0" w:color="auto"/>
      </w:divBdr>
    </w:div>
    <w:div w:id="1609318092">
      <w:bodyDiv w:val="1"/>
      <w:marLeft w:val="0"/>
      <w:marRight w:val="0"/>
      <w:marTop w:val="0"/>
      <w:marBottom w:val="0"/>
      <w:divBdr>
        <w:top w:val="none" w:sz="0" w:space="0" w:color="auto"/>
        <w:left w:val="none" w:sz="0" w:space="0" w:color="auto"/>
        <w:bottom w:val="none" w:sz="0" w:space="0" w:color="auto"/>
        <w:right w:val="none" w:sz="0" w:space="0" w:color="auto"/>
      </w:divBdr>
    </w:div>
    <w:div w:id="1611205021">
      <w:bodyDiv w:val="1"/>
      <w:marLeft w:val="0"/>
      <w:marRight w:val="0"/>
      <w:marTop w:val="0"/>
      <w:marBottom w:val="0"/>
      <w:divBdr>
        <w:top w:val="none" w:sz="0" w:space="0" w:color="auto"/>
        <w:left w:val="none" w:sz="0" w:space="0" w:color="auto"/>
        <w:bottom w:val="none" w:sz="0" w:space="0" w:color="auto"/>
        <w:right w:val="none" w:sz="0" w:space="0" w:color="auto"/>
      </w:divBdr>
    </w:div>
    <w:div w:id="1647658761">
      <w:bodyDiv w:val="1"/>
      <w:marLeft w:val="0"/>
      <w:marRight w:val="0"/>
      <w:marTop w:val="0"/>
      <w:marBottom w:val="0"/>
      <w:divBdr>
        <w:top w:val="none" w:sz="0" w:space="0" w:color="auto"/>
        <w:left w:val="none" w:sz="0" w:space="0" w:color="auto"/>
        <w:bottom w:val="none" w:sz="0" w:space="0" w:color="auto"/>
        <w:right w:val="none" w:sz="0" w:space="0" w:color="auto"/>
      </w:divBdr>
    </w:div>
    <w:div w:id="1739277777">
      <w:bodyDiv w:val="1"/>
      <w:marLeft w:val="0"/>
      <w:marRight w:val="0"/>
      <w:marTop w:val="0"/>
      <w:marBottom w:val="0"/>
      <w:divBdr>
        <w:top w:val="none" w:sz="0" w:space="0" w:color="auto"/>
        <w:left w:val="none" w:sz="0" w:space="0" w:color="auto"/>
        <w:bottom w:val="none" w:sz="0" w:space="0" w:color="auto"/>
        <w:right w:val="none" w:sz="0" w:space="0" w:color="auto"/>
      </w:divBdr>
    </w:div>
    <w:div w:id="1755277284">
      <w:bodyDiv w:val="1"/>
      <w:marLeft w:val="0"/>
      <w:marRight w:val="0"/>
      <w:marTop w:val="0"/>
      <w:marBottom w:val="0"/>
      <w:divBdr>
        <w:top w:val="none" w:sz="0" w:space="0" w:color="auto"/>
        <w:left w:val="none" w:sz="0" w:space="0" w:color="auto"/>
        <w:bottom w:val="none" w:sz="0" w:space="0" w:color="auto"/>
        <w:right w:val="none" w:sz="0" w:space="0" w:color="auto"/>
      </w:divBdr>
    </w:div>
    <w:div w:id="1762025071">
      <w:bodyDiv w:val="1"/>
      <w:marLeft w:val="0"/>
      <w:marRight w:val="0"/>
      <w:marTop w:val="0"/>
      <w:marBottom w:val="0"/>
      <w:divBdr>
        <w:top w:val="none" w:sz="0" w:space="0" w:color="auto"/>
        <w:left w:val="none" w:sz="0" w:space="0" w:color="auto"/>
        <w:bottom w:val="none" w:sz="0" w:space="0" w:color="auto"/>
        <w:right w:val="none" w:sz="0" w:space="0" w:color="auto"/>
      </w:divBdr>
    </w:div>
    <w:div w:id="1771584828">
      <w:bodyDiv w:val="1"/>
      <w:marLeft w:val="0"/>
      <w:marRight w:val="0"/>
      <w:marTop w:val="0"/>
      <w:marBottom w:val="0"/>
      <w:divBdr>
        <w:top w:val="none" w:sz="0" w:space="0" w:color="auto"/>
        <w:left w:val="none" w:sz="0" w:space="0" w:color="auto"/>
        <w:bottom w:val="none" w:sz="0" w:space="0" w:color="auto"/>
        <w:right w:val="none" w:sz="0" w:space="0" w:color="auto"/>
      </w:divBdr>
    </w:div>
    <w:div w:id="1833376193">
      <w:bodyDiv w:val="1"/>
      <w:marLeft w:val="0"/>
      <w:marRight w:val="0"/>
      <w:marTop w:val="0"/>
      <w:marBottom w:val="0"/>
      <w:divBdr>
        <w:top w:val="none" w:sz="0" w:space="0" w:color="auto"/>
        <w:left w:val="none" w:sz="0" w:space="0" w:color="auto"/>
        <w:bottom w:val="none" w:sz="0" w:space="0" w:color="auto"/>
        <w:right w:val="none" w:sz="0" w:space="0" w:color="auto"/>
      </w:divBdr>
    </w:div>
    <w:div w:id="1842768060">
      <w:bodyDiv w:val="1"/>
      <w:marLeft w:val="0"/>
      <w:marRight w:val="0"/>
      <w:marTop w:val="0"/>
      <w:marBottom w:val="0"/>
      <w:divBdr>
        <w:top w:val="none" w:sz="0" w:space="0" w:color="auto"/>
        <w:left w:val="none" w:sz="0" w:space="0" w:color="auto"/>
        <w:bottom w:val="none" w:sz="0" w:space="0" w:color="auto"/>
        <w:right w:val="none" w:sz="0" w:space="0" w:color="auto"/>
      </w:divBdr>
    </w:div>
    <w:div w:id="1960718937">
      <w:bodyDiv w:val="1"/>
      <w:marLeft w:val="0"/>
      <w:marRight w:val="0"/>
      <w:marTop w:val="0"/>
      <w:marBottom w:val="0"/>
      <w:divBdr>
        <w:top w:val="none" w:sz="0" w:space="0" w:color="auto"/>
        <w:left w:val="none" w:sz="0" w:space="0" w:color="auto"/>
        <w:bottom w:val="none" w:sz="0" w:space="0" w:color="auto"/>
        <w:right w:val="none" w:sz="0" w:space="0" w:color="auto"/>
      </w:divBdr>
    </w:div>
    <w:div w:id="1962414891">
      <w:bodyDiv w:val="1"/>
      <w:marLeft w:val="0"/>
      <w:marRight w:val="0"/>
      <w:marTop w:val="0"/>
      <w:marBottom w:val="0"/>
      <w:divBdr>
        <w:top w:val="none" w:sz="0" w:space="0" w:color="auto"/>
        <w:left w:val="none" w:sz="0" w:space="0" w:color="auto"/>
        <w:bottom w:val="none" w:sz="0" w:space="0" w:color="auto"/>
        <w:right w:val="none" w:sz="0" w:space="0" w:color="auto"/>
      </w:divBdr>
    </w:div>
    <w:div w:id="1986813325">
      <w:bodyDiv w:val="1"/>
      <w:marLeft w:val="0"/>
      <w:marRight w:val="0"/>
      <w:marTop w:val="0"/>
      <w:marBottom w:val="0"/>
      <w:divBdr>
        <w:top w:val="none" w:sz="0" w:space="0" w:color="auto"/>
        <w:left w:val="none" w:sz="0" w:space="0" w:color="auto"/>
        <w:bottom w:val="none" w:sz="0" w:space="0" w:color="auto"/>
        <w:right w:val="none" w:sz="0" w:space="0" w:color="auto"/>
      </w:divBdr>
    </w:div>
    <w:div w:id="1991714391">
      <w:bodyDiv w:val="1"/>
      <w:marLeft w:val="0"/>
      <w:marRight w:val="0"/>
      <w:marTop w:val="0"/>
      <w:marBottom w:val="0"/>
      <w:divBdr>
        <w:top w:val="none" w:sz="0" w:space="0" w:color="auto"/>
        <w:left w:val="none" w:sz="0" w:space="0" w:color="auto"/>
        <w:bottom w:val="none" w:sz="0" w:space="0" w:color="auto"/>
        <w:right w:val="none" w:sz="0" w:space="0" w:color="auto"/>
      </w:divBdr>
    </w:div>
    <w:div w:id="2000306675">
      <w:bodyDiv w:val="1"/>
      <w:marLeft w:val="0"/>
      <w:marRight w:val="0"/>
      <w:marTop w:val="0"/>
      <w:marBottom w:val="0"/>
      <w:divBdr>
        <w:top w:val="none" w:sz="0" w:space="0" w:color="auto"/>
        <w:left w:val="none" w:sz="0" w:space="0" w:color="auto"/>
        <w:bottom w:val="none" w:sz="0" w:space="0" w:color="auto"/>
        <w:right w:val="none" w:sz="0" w:space="0" w:color="auto"/>
      </w:divBdr>
    </w:div>
    <w:div w:id="2016107648">
      <w:bodyDiv w:val="1"/>
      <w:marLeft w:val="0"/>
      <w:marRight w:val="0"/>
      <w:marTop w:val="0"/>
      <w:marBottom w:val="0"/>
      <w:divBdr>
        <w:top w:val="none" w:sz="0" w:space="0" w:color="auto"/>
        <w:left w:val="none" w:sz="0" w:space="0" w:color="auto"/>
        <w:bottom w:val="none" w:sz="0" w:space="0" w:color="auto"/>
        <w:right w:val="none" w:sz="0" w:space="0" w:color="auto"/>
      </w:divBdr>
    </w:div>
    <w:div w:id="2021158675">
      <w:bodyDiv w:val="1"/>
      <w:marLeft w:val="0"/>
      <w:marRight w:val="0"/>
      <w:marTop w:val="0"/>
      <w:marBottom w:val="0"/>
      <w:divBdr>
        <w:top w:val="none" w:sz="0" w:space="0" w:color="auto"/>
        <w:left w:val="none" w:sz="0" w:space="0" w:color="auto"/>
        <w:bottom w:val="none" w:sz="0" w:space="0" w:color="auto"/>
        <w:right w:val="none" w:sz="0" w:space="0" w:color="auto"/>
      </w:divBdr>
    </w:div>
    <w:div w:id="2042776953">
      <w:bodyDiv w:val="1"/>
      <w:marLeft w:val="0"/>
      <w:marRight w:val="0"/>
      <w:marTop w:val="0"/>
      <w:marBottom w:val="0"/>
      <w:divBdr>
        <w:top w:val="none" w:sz="0" w:space="0" w:color="auto"/>
        <w:left w:val="none" w:sz="0" w:space="0" w:color="auto"/>
        <w:bottom w:val="none" w:sz="0" w:space="0" w:color="auto"/>
        <w:right w:val="none" w:sz="0" w:space="0" w:color="auto"/>
      </w:divBdr>
    </w:div>
    <w:div w:id="2048724444">
      <w:bodyDiv w:val="1"/>
      <w:marLeft w:val="0"/>
      <w:marRight w:val="0"/>
      <w:marTop w:val="0"/>
      <w:marBottom w:val="0"/>
      <w:divBdr>
        <w:top w:val="none" w:sz="0" w:space="0" w:color="auto"/>
        <w:left w:val="none" w:sz="0" w:space="0" w:color="auto"/>
        <w:bottom w:val="none" w:sz="0" w:space="0" w:color="auto"/>
        <w:right w:val="none" w:sz="0" w:space="0" w:color="auto"/>
      </w:divBdr>
    </w:div>
    <w:div w:id="2051494573">
      <w:bodyDiv w:val="1"/>
      <w:marLeft w:val="0"/>
      <w:marRight w:val="0"/>
      <w:marTop w:val="0"/>
      <w:marBottom w:val="0"/>
      <w:divBdr>
        <w:top w:val="none" w:sz="0" w:space="0" w:color="auto"/>
        <w:left w:val="none" w:sz="0" w:space="0" w:color="auto"/>
        <w:bottom w:val="none" w:sz="0" w:space="0" w:color="auto"/>
        <w:right w:val="none" w:sz="0" w:space="0" w:color="auto"/>
      </w:divBdr>
    </w:div>
    <w:div w:id="2079088297">
      <w:bodyDiv w:val="1"/>
      <w:marLeft w:val="0"/>
      <w:marRight w:val="0"/>
      <w:marTop w:val="0"/>
      <w:marBottom w:val="0"/>
      <w:divBdr>
        <w:top w:val="none" w:sz="0" w:space="0" w:color="auto"/>
        <w:left w:val="none" w:sz="0" w:space="0" w:color="auto"/>
        <w:bottom w:val="none" w:sz="0" w:space="0" w:color="auto"/>
        <w:right w:val="none" w:sz="0" w:space="0" w:color="auto"/>
      </w:divBdr>
    </w:div>
    <w:div w:id="2101750762">
      <w:bodyDiv w:val="1"/>
      <w:marLeft w:val="0"/>
      <w:marRight w:val="0"/>
      <w:marTop w:val="0"/>
      <w:marBottom w:val="0"/>
      <w:divBdr>
        <w:top w:val="none" w:sz="0" w:space="0" w:color="auto"/>
        <w:left w:val="none" w:sz="0" w:space="0" w:color="auto"/>
        <w:bottom w:val="none" w:sz="0" w:space="0" w:color="auto"/>
        <w:right w:val="none" w:sz="0" w:space="0" w:color="auto"/>
      </w:divBdr>
    </w:div>
    <w:div w:id="213860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Locais\marcos.bressane\Modelo%20de%20relatorio%20Word_MME_01Jun07%20v02.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605A40907E22A44A04B53D7345D6DBB" ma:contentTypeVersion="11" ma:contentTypeDescription="Crie um novo documento." ma:contentTypeScope="" ma:versionID="eb31cccd4d0e29fbf81ebb784fe9fe9e">
  <xsd:schema xmlns:xsd="http://www.w3.org/2001/XMLSchema" xmlns:xs="http://www.w3.org/2001/XMLSchema" xmlns:p="http://schemas.microsoft.com/office/2006/metadata/properties" xmlns:ns2="e6ab3a8c-1b9d-4e48-929c-0169f452390a" xmlns:ns3="c2692117-a0d7-4be3-956d-8428dc4fd62b" targetNamespace="http://schemas.microsoft.com/office/2006/metadata/properties" ma:root="true" ma:fieldsID="1fa8a427b6b1c98b413bdff3ab7617ec" ns2:_="" ns3:_="">
    <xsd:import namespace="e6ab3a8c-1b9d-4e48-929c-0169f452390a"/>
    <xsd:import namespace="c2692117-a0d7-4be3-956d-8428dc4fd62b"/>
    <xsd:element name="properties">
      <xsd:complexType>
        <xsd:sequence>
          <xsd:element name="documentManagement">
            <xsd:complexType>
              <xsd:all>
                <xsd:element ref="ns2:Publicacao" minOccurs="0"/>
                <xsd:element ref="ns2:Topico" minOccurs="0"/>
                <xsd:element ref="ns2:Topico_x003a_ID" minOccurs="0"/>
                <xsd:element ref="ns2:Ordem" minOccurs="0"/>
                <xsd:element ref="ns3:ka0f0c7cfd80493d8c6a33a83b804b29"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b3a8c-1b9d-4e48-929c-0169f452390a" elementFormDefault="qualified">
    <xsd:import namespace="http://schemas.microsoft.com/office/2006/documentManagement/types"/>
    <xsd:import namespace="http://schemas.microsoft.com/office/infopath/2007/PartnerControls"/>
    <xsd:element name="Publicacao" ma:index="8" nillable="true" ma:displayName="Publicação" ma:list="{72f10568-9049-4e7f-b6b9-6b3967372d08}" ma:internalName="Publicacao" ma:readOnly="false" ma:showField="Title">
      <xsd:simpleType>
        <xsd:restriction base="dms:Lookup"/>
      </xsd:simpleType>
    </xsd:element>
    <xsd:element name="Topico" ma:index="9" nillable="true" ma:displayName="Topico" ma:list="{3f9e33a3-6c74-49f3-9d56-b602ca9235b5}" ma:internalName="Topico" ma:readOnly="false" ma:showField="Title">
      <xsd:simpleType>
        <xsd:restriction base="dms:Lookup"/>
      </xsd:simpleType>
    </xsd:element>
    <xsd:element name="Topico_x003a_ID" ma:index="10" nillable="true" ma:displayName="Topico:ID" ma:list="{3f9e33a3-6c74-49f3-9d56-b602ca9235b5}" ma:internalName="Topico_x003a_ID" ma:readOnly="true" ma:showField="ID" ma:web="da298a69-1833-4b3d-9e07-d63a39461a7d">
      <xsd:simpleType>
        <xsd:restriction base="dms:Lookup"/>
      </xsd:simpleType>
    </xsd:element>
    <xsd:element name="Ordem" ma:index="11" nillable="true" ma:displayName="Ordem" ma:decimals="0" ma:internalName="Ordem">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2692117-a0d7-4be3-956d-8428dc4fd62b" elementFormDefault="qualified">
    <xsd:import namespace="http://schemas.microsoft.com/office/2006/documentManagement/types"/>
    <xsd:import namespace="http://schemas.microsoft.com/office/infopath/2007/PartnerControls"/>
    <xsd:element name="ka0f0c7cfd80493d8c6a33a83b804b29" ma:index="13" nillable="true" ma:taxonomy="true" ma:internalName="ka0f0c7cfd80493d8c6a33a83b804b29" ma:taxonomyFieldName="Tag" ma:displayName="Tag" ma:default="" ma:fieldId="{4a0f0c7c-fd80-493d-8c6a-33a83b804b29}" ma:taxonomyMulti="true" ma:sspId="31423334-e3fc-4ff3-9956-0d09b48b681f" ma:termSetId="8eb7b6e9-68ed-45e4-995f-8bfb18a636f1"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29227de3-58a8-4547-bb45-02a6b61feb5f}" ma:internalName="TaxCatchAll" ma:showField="CatchAllData" ma:web="c2692117-a0d7-4be3-956d-8428dc4fd6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o xmlns="e6ab3a8c-1b9d-4e48-929c-0169f452390a">549</Topico>
    <Publicacao xmlns="e6ab3a8c-1b9d-4e48-929c-0169f452390a" xsi:nil="true"/>
    <ka0f0c7cfd80493d8c6a33a83b804b29 xmlns="c2692117-a0d7-4be3-956d-8428dc4fd62b">
      <Terms xmlns="http://schemas.microsoft.com/office/infopath/2007/PartnerControls"/>
    </ka0f0c7cfd80493d8c6a33a83b804b29>
    <TaxCatchAll xmlns="c2692117-a0d7-4be3-956d-8428dc4fd62b"/>
    <Ordem xmlns="e6ab3a8c-1b9d-4e48-929c-0169f452390a">997</Ordem>
  </documentManagement>
</p:properties>
</file>

<file path=customXml/itemProps1.xml><?xml version="1.0" encoding="utf-8"?>
<ds:datastoreItem xmlns:ds="http://schemas.openxmlformats.org/officeDocument/2006/customXml" ds:itemID="{49D207AE-ECB9-4CBE-97C9-3B895F9DBFDA}">
  <ds:schemaRefs>
    <ds:schemaRef ds:uri="http://schemas.openxmlformats.org/officeDocument/2006/bibliography"/>
  </ds:schemaRefs>
</ds:datastoreItem>
</file>

<file path=customXml/itemProps2.xml><?xml version="1.0" encoding="utf-8"?>
<ds:datastoreItem xmlns:ds="http://schemas.openxmlformats.org/officeDocument/2006/customXml" ds:itemID="{96E65ED2-4987-4360-836C-7E7A5C82B432}"/>
</file>

<file path=customXml/itemProps3.xml><?xml version="1.0" encoding="utf-8"?>
<ds:datastoreItem xmlns:ds="http://schemas.openxmlformats.org/officeDocument/2006/customXml" ds:itemID="{F7BD51C7-562E-497B-8E71-62C1787CB02B}"/>
</file>

<file path=customXml/itemProps4.xml><?xml version="1.0" encoding="utf-8"?>
<ds:datastoreItem xmlns:ds="http://schemas.openxmlformats.org/officeDocument/2006/customXml" ds:itemID="{D4C970B8-3190-429F-9F5D-BA985BA90FC5}"/>
</file>

<file path=docProps/app.xml><?xml version="1.0" encoding="utf-8"?>
<Properties xmlns="http://schemas.openxmlformats.org/officeDocument/2006/extended-properties" xmlns:vt="http://schemas.openxmlformats.org/officeDocument/2006/docPropsVTypes">
  <Template>Modelo de relatorio Word_MME_01Jun07 v02.dot</Template>
  <TotalTime>4</TotalTime>
  <Pages>16</Pages>
  <Words>3410</Words>
  <Characters>19777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Título 1</vt:lpstr>
    </vt:vector>
  </TitlesOfParts>
  <Company>Empresa de Pesquisa Energética - EPE</Company>
  <LinksUpToDate>false</LinksUpToDate>
  <CharactersWithSpaces>23141</CharactersWithSpaces>
  <SharedDoc>false</SharedDoc>
  <HLinks>
    <vt:vector size="42" baseType="variant">
      <vt:variant>
        <vt:i4>1900599</vt:i4>
      </vt:variant>
      <vt:variant>
        <vt:i4>35</vt:i4>
      </vt:variant>
      <vt:variant>
        <vt:i4>0</vt:i4>
      </vt:variant>
      <vt:variant>
        <vt:i4>5</vt:i4>
      </vt:variant>
      <vt:variant>
        <vt:lpwstr/>
      </vt:variant>
      <vt:variant>
        <vt:lpwstr>_Toc264886928</vt:lpwstr>
      </vt:variant>
      <vt:variant>
        <vt:i4>1900599</vt:i4>
      </vt:variant>
      <vt:variant>
        <vt:i4>29</vt:i4>
      </vt:variant>
      <vt:variant>
        <vt:i4>0</vt:i4>
      </vt:variant>
      <vt:variant>
        <vt:i4>5</vt:i4>
      </vt:variant>
      <vt:variant>
        <vt:lpwstr/>
      </vt:variant>
      <vt:variant>
        <vt:lpwstr>_Toc264886927</vt:lpwstr>
      </vt:variant>
      <vt:variant>
        <vt:i4>1900599</vt:i4>
      </vt:variant>
      <vt:variant>
        <vt:i4>23</vt:i4>
      </vt:variant>
      <vt:variant>
        <vt:i4>0</vt:i4>
      </vt:variant>
      <vt:variant>
        <vt:i4>5</vt:i4>
      </vt:variant>
      <vt:variant>
        <vt:lpwstr/>
      </vt:variant>
      <vt:variant>
        <vt:lpwstr>_Toc264886926</vt:lpwstr>
      </vt:variant>
      <vt:variant>
        <vt:i4>1900599</vt:i4>
      </vt:variant>
      <vt:variant>
        <vt:i4>17</vt:i4>
      </vt:variant>
      <vt:variant>
        <vt:i4>0</vt:i4>
      </vt:variant>
      <vt:variant>
        <vt:i4>5</vt:i4>
      </vt:variant>
      <vt:variant>
        <vt:lpwstr/>
      </vt:variant>
      <vt:variant>
        <vt:lpwstr>_Toc264886925</vt:lpwstr>
      </vt:variant>
      <vt:variant>
        <vt:i4>1900599</vt:i4>
      </vt:variant>
      <vt:variant>
        <vt:i4>11</vt:i4>
      </vt:variant>
      <vt:variant>
        <vt:i4>0</vt:i4>
      </vt:variant>
      <vt:variant>
        <vt:i4>5</vt:i4>
      </vt:variant>
      <vt:variant>
        <vt:lpwstr/>
      </vt:variant>
      <vt:variant>
        <vt:lpwstr>_Toc264886924</vt:lpwstr>
      </vt:variant>
      <vt:variant>
        <vt:i4>1900599</vt:i4>
      </vt:variant>
      <vt:variant>
        <vt:i4>5</vt:i4>
      </vt:variant>
      <vt:variant>
        <vt:i4>0</vt:i4>
      </vt:variant>
      <vt:variant>
        <vt:i4>5</vt:i4>
      </vt:variant>
      <vt:variant>
        <vt:lpwstr/>
      </vt:variant>
      <vt:variant>
        <vt:lpwstr>_Toc264886923</vt:lpwstr>
      </vt:variant>
      <vt:variant>
        <vt:i4>7798845</vt:i4>
      </vt:variant>
      <vt:variant>
        <vt:i4>0</vt:i4>
      </vt:variant>
      <vt:variant>
        <vt:i4>0</vt:i4>
      </vt:variant>
      <vt:variant>
        <vt:i4>5</vt:i4>
      </vt:variant>
      <vt:variant>
        <vt:lpwstr>http://www.epe.gov.br/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132/2013</dc:title>
  <dc:creator>Administrador</dc:creator>
  <cp:lastModifiedBy>oduvaldo.silva</cp:lastModifiedBy>
  <cp:revision>3</cp:revision>
  <cp:lastPrinted>2012-11-13T12:36:00Z</cp:lastPrinted>
  <dcterms:created xsi:type="dcterms:W3CDTF">2013-11-19T12:12:00Z</dcterms:created>
  <dcterms:modified xsi:type="dcterms:W3CDTF">2013-11-19T12:18:00Z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0x010100C605A40907E22A44A04B53D7345D6DBB</vt:lpwstr>
  </property>
  <property fmtid="{D5CDD505-2E9C-101B-9397-08002B2CF9AE}" pid="3" name="Tag">
    <vt:lpwstr/>
  </property>
</Properties>
</file>